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Network Architecture and Data Flow Diagram</w:t>
      </w:r>
    </w:p>
    <w:p>
      <w:pPr>
        <w:spacing w:after="80" w:before="0"/>
      </w:pPr>
      <w:r>
        <w:rPr>
          <w:rFonts w:ascii="Calibri" w:hAnsi="Calibri" w:cs="Calibri" w:eastAsia="Calibri"/>
          <w:b w:val="0"/>
          <w:i w:val="0"/>
          <w:color w:val="595959"/>
          <w:sz w:val="18"/>
          <w:szCs w:val="18"/>
        </w:rPr>
        <w:t>ID-RPT-001  |  Report  |  Asset Management (ID.AM)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ID-RPT-001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Network Architecture and Data Flow Diagram</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6 May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 and on major change</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6 May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Report</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Asset Management (ID.AM)</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8.20 and 8.22; CIS Controls v8.1 Control 12</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14 April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6 May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document shows the authorized network architecture, security zones, and data flows, so that changes, risks, and incidents can be assessed against a known baseline (ID.AM-03).</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report is used by the units and roles named in its parent document (ID-STD-001) and covers the activities that document defines.</w:t>
      </w:r>
    </w:p>
    <w:p>
      <w:pPr>
        <w:pStyle w:val="Heading2"/>
        <w:keepNext/>
        <w:spacing w:before="120" w:after="80"/>
      </w:pPr>
      <w:r>
        <w:rPr>
          <w:rFonts w:ascii="Calibri" w:hAnsi="Calibri" w:cs="Calibri" w:eastAsia="Calibri"/>
          <w:b/>
          <w:i w:val="0"/>
          <w:color w:val="1F3864"/>
          <w:sz w:val="24"/>
          <w:szCs w:val="24"/>
          <w:bCs/>
        </w:rPr>
        <w:t>4.3 Security Zones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network zones, their trust level, and allowed connections.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701"/>
        <w:gridCol w:w="3118"/>
        <w:gridCol w:w="1417"/>
        <w:gridCol w:w="3118"/>
      </w:tblGrid>
      <w:tr>
        <w:trPr>
          <w:tblHeader w:val="true"/>
        </w:trPr>
        <w:tc>
          <w:tcPr>
            <w:tcW w:type="dxa" w:w="1701"/>
            <w:shd w:val="clear" w:color="auto" w:fill="1F3864"/>
          </w:tcPr>
          <w:p>
            <w:r/>
            <w:r>
              <w:rPr>
                <w:rFonts w:ascii="Calibri" w:hAnsi="Calibri" w:cs="Calibri" w:eastAsia="Calibri"/>
                <w:b/>
                <w:i w:val="0"/>
                <w:color w:val="FFFFFF"/>
                <w:sz w:val="18"/>
                <w:szCs w:val="18"/>
                <w:bCs/>
              </w:rPr>
              <w:t>Zone</w:t>
            </w:r>
          </w:p>
        </w:tc>
        <w:tc>
          <w:tcPr>
            <w:tcW w:type="dxa" w:w="3118"/>
            <w:shd w:val="clear" w:color="auto" w:fill="1F3864"/>
          </w:tcPr>
          <w:p>
            <w:r/>
            <w:r>
              <w:rPr>
                <w:rFonts w:ascii="Calibri" w:hAnsi="Calibri" w:cs="Calibri" w:eastAsia="Calibri"/>
                <w:b/>
                <w:i w:val="0"/>
                <w:color w:val="FFFFFF"/>
                <w:sz w:val="18"/>
                <w:szCs w:val="18"/>
                <w:bCs/>
              </w:rPr>
              <w:t>Contents</w:t>
            </w:r>
          </w:p>
        </w:tc>
        <w:tc>
          <w:tcPr>
            <w:tcW w:type="dxa" w:w="1417"/>
            <w:shd w:val="clear" w:color="auto" w:fill="1F3864"/>
          </w:tcPr>
          <w:p>
            <w:r/>
            <w:r>
              <w:rPr>
                <w:rFonts w:ascii="Calibri" w:hAnsi="Calibri" w:cs="Calibri" w:eastAsia="Calibri"/>
                <w:b/>
                <w:i w:val="0"/>
                <w:color w:val="FFFFFF"/>
                <w:sz w:val="18"/>
                <w:szCs w:val="18"/>
                <w:bCs/>
              </w:rPr>
              <w:t>Trust</w:t>
            </w:r>
          </w:p>
        </w:tc>
        <w:tc>
          <w:tcPr>
            <w:tcW w:type="dxa" w:w="3118"/>
            <w:shd w:val="clear" w:color="auto" w:fill="1F3864"/>
          </w:tcPr>
          <w:p>
            <w:r/>
            <w:r>
              <w:rPr>
                <w:rFonts w:ascii="Calibri" w:hAnsi="Calibri" w:cs="Calibri" w:eastAsia="Calibri"/>
                <w:b/>
                <w:i w:val="0"/>
                <w:color w:val="FFFFFF"/>
                <w:sz w:val="18"/>
                <w:szCs w:val="18"/>
                <w:bCs/>
              </w:rPr>
              <w:t>Allowed inbound from</w:t>
            </w:r>
          </w:p>
        </w:tc>
      </w:tr>
      <w:tr>
        <w:tc>
          <w:tcPr>
            <w:tcW w:type="dxa" w:w="1701"/>
          </w:tcPr>
          <w:p>
            <w:r/>
            <w:r>
              <w:rPr>
                <w:rFonts w:ascii="Calibri" w:hAnsi="Calibri" w:cs="Calibri" w:eastAsia="Calibri"/>
                <w:b w:val="0"/>
                <w:i w:val="0"/>
                <w:sz w:val="18"/>
                <w:szCs w:val="18"/>
              </w:rPr>
              <w:t>Internet</w:t>
            </w:r>
          </w:p>
        </w:tc>
        <w:tc>
          <w:tcPr>
            <w:tcW w:type="dxa" w:w="3118"/>
          </w:tcPr>
          <w:p>
            <w:r/>
            <w:r>
              <w:rPr>
                <w:rFonts w:ascii="Calibri" w:hAnsi="Calibri" w:cs="Calibri" w:eastAsia="Calibri"/>
                <w:b w:val="0"/>
                <w:i w:val="0"/>
                <w:sz w:val="18"/>
                <w:szCs w:val="18"/>
              </w:rPr>
              <w:t>Public networks</w:t>
            </w:r>
          </w:p>
        </w:tc>
        <w:tc>
          <w:tcPr>
            <w:tcW w:type="dxa" w:w="1417"/>
          </w:tcPr>
          <w:p>
            <w:r/>
            <w:r>
              <w:rPr>
                <w:rFonts w:ascii="Calibri" w:hAnsi="Calibri" w:cs="Calibri" w:eastAsia="Calibri"/>
                <w:b w:val="0"/>
                <w:i w:val="0"/>
                <w:sz w:val="18"/>
                <w:szCs w:val="18"/>
              </w:rPr>
              <w:t>Untrusted</w:t>
            </w:r>
          </w:p>
        </w:tc>
        <w:tc>
          <w:tcPr>
            <w:tcW w:type="dxa" w:w="3118"/>
          </w:tcPr>
          <w:p>
            <w:r/>
            <w:r>
              <w:rPr>
                <w:rFonts w:ascii="Calibri" w:hAnsi="Calibri" w:cs="Calibri" w:eastAsia="Calibri"/>
                <w:b w:val="0"/>
                <w:i w:val="0"/>
                <w:sz w:val="18"/>
                <w:szCs w:val="18"/>
              </w:rPr>
              <w:t>Not applicable</w:t>
            </w:r>
          </w:p>
        </w:tc>
      </w:tr>
      <w:tr>
        <w:tc>
          <w:tcPr>
            <w:tcW w:type="dxa" w:w="1701"/>
          </w:tcPr>
          <w:p>
            <w:r/>
            <w:r>
              <w:rPr>
                <w:rFonts w:ascii="Calibri" w:hAnsi="Calibri" w:cs="Calibri" w:eastAsia="Calibri"/>
                <w:b w:val="0"/>
                <w:i w:val="0"/>
                <w:sz w:val="18"/>
                <w:szCs w:val="18"/>
              </w:rPr>
              <w:t>DMZ</w:t>
            </w:r>
          </w:p>
        </w:tc>
        <w:tc>
          <w:tcPr>
            <w:tcW w:type="dxa" w:w="3118"/>
          </w:tcPr>
          <w:p>
            <w:r/>
            <w:r>
              <w:rPr>
                <w:rFonts w:ascii="Calibri" w:hAnsi="Calibri" w:cs="Calibri" w:eastAsia="Calibri"/>
                <w:b w:val="0"/>
                <w:i w:val="0"/>
                <w:sz w:val="18"/>
                <w:szCs w:val="18"/>
              </w:rPr>
              <w:t>Patient portal reverse proxy, email gateway</w:t>
            </w:r>
          </w:p>
        </w:tc>
        <w:tc>
          <w:tcPr>
            <w:tcW w:type="dxa" w:w="1417"/>
          </w:tcPr>
          <w:p>
            <w:r/>
            <w:r>
              <w:rPr>
                <w:rFonts w:ascii="Calibri" w:hAnsi="Calibri" w:cs="Calibri" w:eastAsia="Calibri"/>
                <w:b w:val="0"/>
                <w:i w:val="0"/>
                <w:sz w:val="18"/>
                <w:szCs w:val="18"/>
              </w:rPr>
              <w:t>Low</w:t>
            </w:r>
          </w:p>
        </w:tc>
        <w:tc>
          <w:tcPr>
            <w:tcW w:type="dxa" w:w="3118"/>
          </w:tcPr>
          <w:p>
            <w:r/>
            <w:r>
              <w:rPr>
                <w:rFonts w:ascii="Calibri" w:hAnsi="Calibri" w:cs="Calibri" w:eastAsia="Calibri"/>
                <w:b w:val="0"/>
                <w:i w:val="0"/>
                <w:sz w:val="18"/>
                <w:szCs w:val="18"/>
              </w:rPr>
              <w:t>Internet (HTTPS, SMTP)</w:t>
            </w:r>
          </w:p>
        </w:tc>
      </w:tr>
      <w:tr>
        <w:tc>
          <w:tcPr>
            <w:tcW w:type="dxa" w:w="1701"/>
          </w:tcPr>
          <w:p>
            <w:r/>
            <w:r>
              <w:rPr>
                <w:rFonts w:ascii="Calibri" w:hAnsi="Calibri" w:cs="Calibri" w:eastAsia="Calibri"/>
                <w:b w:val="0"/>
                <w:i w:val="0"/>
                <w:sz w:val="18"/>
                <w:szCs w:val="18"/>
              </w:rPr>
              <w:t>Clinical server zone</w:t>
            </w:r>
          </w:p>
        </w:tc>
        <w:tc>
          <w:tcPr>
            <w:tcW w:type="dxa" w:w="3118"/>
          </w:tcPr>
          <w:p>
            <w:r/>
            <w:r>
              <w:rPr>
                <w:rFonts w:ascii="Calibri" w:hAnsi="Calibri" w:cs="Calibri" w:eastAsia="Calibri"/>
                <w:b w:val="0"/>
                <w:i w:val="0"/>
                <w:sz w:val="18"/>
                <w:szCs w:val="18"/>
              </w:rPr>
              <w:t>HIS, PACS, LIS, interface engine</w:t>
            </w:r>
          </w:p>
        </w:tc>
        <w:tc>
          <w:tcPr>
            <w:tcW w:type="dxa" w:w="1417"/>
          </w:tcPr>
          <w:p>
            <w:r/>
            <w:r>
              <w:rPr>
                <w:rFonts w:ascii="Calibri" w:hAnsi="Calibri" w:cs="Calibri" w:eastAsia="Calibri"/>
                <w:b w:val="0"/>
                <w:i w:val="0"/>
                <w:sz w:val="18"/>
                <w:szCs w:val="18"/>
              </w:rPr>
              <w:t>High</w:t>
            </w:r>
          </w:p>
        </w:tc>
        <w:tc>
          <w:tcPr>
            <w:tcW w:type="dxa" w:w="3118"/>
          </w:tcPr>
          <w:p>
            <w:r/>
            <w:r>
              <w:rPr>
                <w:rFonts w:ascii="Calibri" w:hAnsi="Calibri" w:cs="Calibri" w:eastAsia="Calibri"/>
                <w:b w:val="0"/>
                <w:i w:val="0"/>
                <w:sz w:val="18"/>
                <w:szCs w:val="18"/>
              </w:rPr>
              <w:t>Clinical user zone (application ports), management zone</w:t>
            </w:r>
          </w:p>
        </w:tc>
      </w:tr>
      <w:tr>
        <w:tc>
          <w:tcPr>
            <w:tcW w:type="dxa" w:w="1701"/>
          </w:tcPr>
          <w:p>
            <w:r/>
            <w:r>
              <w:rPr>
                <w:rFonts w:ascii="Calibri" w:hAnsi="Calibri" w:cs="Calibri" w:eastAsia="Calibri"/>
                <w:b w:val="0"/>
                <w:i w:val="0"/>
                <w:sz w:val="18"/>
                <w:szCs w:val="18"/>
              </w:rPr>
              <w:t>Medical device zone</w:t>
            </w:r>
          </w:p>
        </w:tc>
        <w:tc>
          <w:tcPr>
            <w:tcW w:type="dxa" w:w="3118"/>
          </w:tcPr>
          <w:p>
            <w:r/>
            <w:r>
              <w:rPr>
                <w:rFonts w:ascii="Calibri" w:hAnsi="Calibri" w:cs="Calibri" w:eastAsia="Calibri"/>
                <w:b w:val="0"/>
                <w:i w:val="0"/>
                <w:sz w:val="18"/>
                <w:szCs w:val="18"/>
              </w:rPr>
              <w:t>Imaging modalities, lab analyzers, infusion pump gateways</w:t>
            </w:r>
          </w:p>
        </w:tc>
        <w:tc>
          <w:tcPr>
            <w:tcW w:type="dxa" w:w="1417"/>
          </w:tcPr>
          <w:p>
            <w:r/>
            <w:r>
              <w:rPr>
                <w:rFonts w:ascii="Calibri" w:hAnsi="Calibri" w:cs="Calibri" w:eastAsia="Calibri"/>
                <w:b w:val="0"/>
                <w:i w:val="0"/>
                <w:sz w:val="18"/>
                <w:szCs w:val="18"/>
              </w:rPr>
              <w:t>Restricted</w:t>
            </w:r>
          </w:p>
        </w:tc>
        <w:tc>
          <w:tcPr>
            <w:tcW w:type="dxa" w:w="3118"/>
          </w:tcPr>
          <w:p>
            <w:r/>
            <w:r>
              <w:rPr>
                <w:rFonts w:ascii="Calibri" w:hAnsi="Calibri" w:cs="Calibri" w:eastAsia="Calibri"/>
                <w:b w:val="0"/>
                <w:i w:val="0"/>
                <w:sz w:val="18"/>
                <w:szCs w:val="18"/>
              </w:rPr>
              <w:t>PACS and LIS servers only (DICOM, HL7)</w:t>
            </w:r>
          </w:p>
        </w:tc>
      </w:tr>
      <w:tr>
        <w:tc>
          <w:tcPr>
            <w:tcW w:type="dxa" w:w="1701"/>
          </w:tcPr>
          <w:p>
            <w:r/>
            <w:r>
              <w:rPr>
                <w:rFonts w:ascii="Calibri" w:hAnsi="Calibri" w:cs="Calibri" w:eastAsia="Calibri"/>
                <w:b w:val="0"/>
                <w:i w:val="0"/>
                <w:sz w:val="18"/>
                <w:szCs w:val="18"/>
              </w:rPr>
              <w:t>Clinical and office user zones</w:t>
            </w:r>
          </w:p>
        </w:tc>
        <w:tc>
          <w:tcPr>
            <w:tcW w:type="dxa" w:w="3118"/>
          </w:tcPr>
          <w:p>
            <w:r/>
            <w:r>
              <w:rPr>
                <w:rFonts w:ascii="Calibri" w:hAnsi="Calibri" w:cs="Calibri" w:eastAsia="Calibri"/>
                <w:b w:val="0"/>
                <w:i w:val="0"/>
                <w:sz w:val="18"/>
                <w:szCs w:val="18"/>
              </w:rPr>
              <w:t>Workstations, printers</w:t>
            </w:r>
          </w:p>
        </w:tc>
        <w:tc>
          <w:tcPr>
            <w:tcW w:type="dxa" w:w="1417"/>
          </w:tcPr>
          <w:p>
            <w:r/>
            <w:r>
              <w:rPr>
                <w:rFonts w:ascii="Calibri" w:hAnsi="Calibri" w:cs="Calibri" w:eastAsia="Calibri"/>
                <w:b w:val="0"/>
                <w:i w:val="0"/>
                <w:sz w:val="18"/>
                <w:szCs w:val="18"/>
              </w:rPr>
              <w:t>Medium</w:t>
            </w:r>
          </w:p>
        </w:tc>
        <w:tc>
          <w:tcPr>
            <w:tcW w:type="dxa" w:w="3118"/>
          </w:tcPr>
          <w:p>
            <w:r/>
            <w:r>
              <w:rPr>
                <w:rFonts w:ascii="Calibri" w:hAnsi="Calibri" w:cs="Calibri" w:eastAsia="Calibri"/>
                <w:b w:val="0"/>
                <w:i w:val="0"/>
                <w:sz w:val="18"/>
                <w:szCs w:val="18"/>
              </w:rPr>
              <w:t>Management zone</w:t>
            </w:r>
          </w:p>
        </w:tc>
      </w:tr>
      <w:tr>
        <w:tc>
          <w:tcPr>
            <w:tcW w:type="dxa" w:w="1701"/>
          </w:tcPr>
          <w:p>
            <w:r/>
            <w:r>
              <w:rPr>
                <w:rFonts w:ascii="Calibri" w:hAnsi="Calibri" w:cs="Calibri" w:eastAsia="Calibri"/>
                <w:b w:val="0"/>
                <w:i w:val="0"/>
                <w:sz w:val="18"/>
                <w:szCs w:val="18"/>
              </w:rPr>
              <w:t>Management zone</w:t>
            </w:r>
          </w:p>
        </w:tc>
        <w:tc>
          <w:tcPr>
            <w:tcW w:type="dxa" w:w="3118"/>
          </w:tcPr>
          <w:p>
            <w:r/>
            <w:r>
              <w:rPr>
                <w:rFonts w:ascii="Calibri" w:hAnsi="Calibri" w:cs="Calibri" w:eastAsia="Calibri"/>
                <w:b w:val="0"/>
                <w:i w:val="0"/>
                <w:sz w:val="18"/>
                <w:szCs w:val="18"/>
              </w:rPr>
              <w:t>PAM jump hosts, monitoring</w:t>
            </w:r>
          </w:p>
        </w:tc>
        <w:tc>
          <w:tcPr>
            <w:tcW w:type="dxa" w:w="1417"/>
          </w:tcPr>
          <w:p>
            <w:r/>
            <w:r>
              <w:rPr>
                <w:rFonts w:ascii="Calibri" w:hAnsi="Calibri" w:cs="Calibri" w:eastAsia="Calibri"/>
                <w:b w:val="0"/>
                <w:i w:val="0"/>
                <w:sz w:val="18"/>
                <w:szCs w:val="18"/>
              </w:rPr>
              <w:t>High</w:t>
            </w:r>
          </w:p>
        </w:tc>
        <w:tc>
          <w:tcPr>
            <w:tcW w:type="dxa" w:w="3118"/>
          </w:tcPr>
          <w:p>
            <w:r/>
            <w:r>
              <w:rPr>
                <w:rFonts w:ascii="Calibri" w:hAnsi="Calibri" w:cs="Calibri" w:eastAsia="Calibri"/>
                <w:b w:val="0"/>
                <w:i w:val="0"/>
                <w:sz w:val="18"/>
                <w:szCs w:val="18"/>
              </w:rPr>
              <w:t>Admins and vendors via MFA and session recording</w:t>
            </w:r>
          </w:p>
        </w:tc>
      </w:tr>
      <w:tr>
        <w:tc>
          <w:tcPr>
            <w:tcW w:type="dxa" w:w="1701"/>
          </w:tcPr>
          <w:p>
            <w:r/>
            <w:r>
              <w:rPr>
                <w:rFonts w:ascii="Calibri" w:hAnsi="Calibri" w:cs="Calibri" w:eastAsia="Calibri"/>
                <w:b w:val="0"/>
                <w:i w:val="0"/>
                <w:sz w:val="18"/>
                <w:szCs w:val="18"/>
              </w:rPr>
              <w:t>Patient and guest Wi-Fi</w:t>
            </w:r>
          </w:p>
        </w:tc>
        <w:tc>
          <w:tcPr>
            <w:tcW w:type="dxa" w:w="3118"/>
          </w:tcPr>
          <w:p>
            <w:r/>
            <w:r>
              <w:rPr>
                <w:rFonts w:ascii="Calibri" w:hAnsi="Calibri" w:cs="Calibri" w:eastAsia="Calibri"/>
                <w:b w:val="0"/>
                <w:i w:val="0"/>
                <w:sz w:val="18"/>
                <w:szCs w:val="18"/>
              </w:rPr>
              <w:t>Internet only</w:t>
            </w:r>
          </w:p>
        </w:tc>
        <w:tc>
          <w:tcPr>
            <w:tcW w:type="dxa" w:w="1417"/>
          </w:tcPr>
          <w:p>
            <w:r/>
            <w:r>
              <w:rPr>
                <w:rFonts w:ascii="Calibri" w:hAnsi="Calibri" w:cs="Calibri" w:eastAsia="Calibri"/>
                <w:b w:val="0"/>
                <w:i w:val="0"/>
                <w:sz w:val="18"/>
                <w:szCs w:val="18"/>
              </w:rPr>
              <w:t>Untrusted</w:t>
            </w:r>
          </w:p>
        </w:tc>
        <w:tc>
          <w:tcPr>
            <w:tcW w:type="dxa" w:w="3118"/>
          </w:tcPr>
          <w:p>
            <w:r/>
            <w:r>
              <w:rPr>
                <w:rFonts w:ascii="Calibri" w:hAnsi="Calibri" w:cs="Calibri" w:eastAsia="Calibri"/>
                <w:b w:val="0"/>
                <w:i w:val="0"/>
                <w:sz w:val="18"/>
                <w:szCs w:val="18"/>
              </w:rPr>
              <w:t>None</w:t>
            </w:r>
          </w:p>
        </w:tc>
      </w:tr>
    </w:tbl>
    <w:p>
      <w:pPr>
        <w:spacing w:after="40"/>
      </w:pPr>
    </w:p>
    <w:p>
      <w:pPr>
        <w:pStyle w:val="Heading2"/>
        <w:keepNext/>
        <w:spacing w:before="120" w:after="80"/>
      </w:pPr>
      <w:r>
        <w:rPr>
          <w:rFonts w:ascii="Calibri" w:hAnsi="Calibri" w:cs="Calibri" w:eastAsia="Calibri"/>
          <w:b/>
          <w:i w:val="0"/>
          <w:color w:val="1F3864"/>
          <w:sz w:val="24"/>
          <w:szCs w:val="24"/>
          <w:bCs/>
        </w:rPr>
        <w:t>4.4 Diagram and Data Flows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Provide a current diagram showing zones, firewalls, external connections, and critical data flows.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Diagram CMC-NET-2026-03 shows two hospitals linked by dual MPLS circuits, the primary data center at Riverside, DR site at Nonthaburi, and two internet providers.</w:t>
      </w:r>
    </w:p>
    <w:p>
      <w:pPr>
        <w:pStyle w:val="ListBullet"/>
        <w:spacing w:after="40"/>
      </w:pPr>
      <w:r>
        <w:rPr>
          <w:rFonts w:ascii="Calibri" w:hAnsi="Calibri" w:cs="Calibri" w:eastAsia="Calibri"/>
          <w:b w:val="0"/>
          <w:i w:val="0"/>
          <w:sz w:val="21"/>
          <w:szCs w:val="21"/>
        </w:rPr>
        <w:t>Critical flows: HIS to PACS and LIS through the interface engine (HL7 over TLS); modalities to PACS (DICOM, medical device VLAN); log forwarding to the MSSP (TLS).</w:t>
      </w:r>
    </w:p>
    <w:p>
      <w:pPr>
        <w:pStyle w:val="ListBullet"/>
        <w:spacing w:after="40"/>
      </w:pPr>
      <w:r>
        <w:rPr>
          <w:rFonts w:ascii="Calibri" w:hAnsi="Calibri" w:cs="Calibri" w:eastAsia="Calibri"/>
          <w:b w:val="0"/>
          <w:i w:val="0"/>
          <w:sz w:val="21"/>
          <w:szCs w:val="21"/>
        </w:rPr>
        <w:t>Updated March 2026 after the medical device VLAN project, phase 1.</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Keep the diagram in a controlled repository and restrict access because it helps attackers.</w:t>
      </w:r>
    </w:p>
    <w:p>
      <w:pPr>
        <w:pStyle w:val="ListBullet"/>
        <w:spacing w:after="40"/>
      </w:pPr>
      <w:r>
        <w:rPr>
          <w:rFonts w:ascii="Calibri" w:hAnsi="Calibri" w:cs="Calibri" w:eastAsia="Calibri"/>
          <w:b w:val="0"/>
          <w:i w:val="0"/>
          <w:sz w:val="21"/>
          <w:szCs w:val="21"/>
        </w:rPr>
        <w:t>Validate the diagram against firewall rules and discovery scans each year.</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Diagrams that show the design from years ago, not today's network.</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ID.AM-03: Representations of authorized network communication and data flows are maintained</w:t>
            </w:r>
          </w:p>
          <w:p>
            <w:r>
              <w:rPr>
                <w:rFonts w:ascii="Calibri" w:hAnsi="Calibri" w:cs="Calibri" w:eastAsia="Calibri"/>
                <w:b w:val="0"/>
                <w:i w:val="0"/>
                <w:sz w:val="18"/>
                <w:szCs w:val="18"/>
              </w:rPr>
              <w:t>PR.IR-01: Networks and environments are protected from unauthorized logical access and usage</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A.8.20, Annex A.8.22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PL-8, CA-9</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8.20 and 8.22; CIS Controls v8.1 Control 12</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ID-STD-001: Asset Management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ID-RPT-001  |  Network Architecture and Data Flow Diagram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