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Business Impact Analysis (BIA)</w:t>
      </w:r>
    </w:p>
    <w:p>
      <w:pPr>
        <w:spacing w:after="80" w:before="0"/>
      </w:pPr>
      <w:r>
        <w:rPr>
          <w:rFonts w:ascii="Calibri" w:hAnsi="Calibri" w:cs="Calibri" w:eastAsia="Calibri"/>
          <w:b w:val="0"/>
          <w:i w:val="0"/>
          <w:color w:val="595959"/>
          <w:sz w:val="18"/>
          <w:szCs w:val="18"/>
        </w:rPr>
        <w:t>ID-RPT-002  |  Report  |  Asset Management (ID.AM)</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ID-RPT-002</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Business Impact Analysis (BIA)</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BCM Coordinator, Quality and Risk Management Department</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Information Security Steering Committee (ISSC)</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 April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 April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Report</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Identify (ID)</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Asset Management (ID.AM)</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CII</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 22301:2019 Clause 8.2.2; CRC Notification on CII duties 2024 (BCP criteria) [VERIFY]</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 Legal and Regulatory, Evidence, Resilience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(high priority for CII)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 July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BCM Coordinator, Quality and Risk Management Department</w:t>
            </w:r>
          </w:p>
        </w:tc>
        <w:tc>
          <w:tcPr>
            <w:tcW w:type="dxa" w:w="1531"/>
          </w:tcPr>
          <w:p>
            <w:r/>
            <w:r>
              <w:rPr>
                <w:rFonts w:ascii="Calibri" w:hAnsi="Calibri" w:cs="Calibri" w:eastAsia="Calibri"/>
                <w:b w:val="0"/>
                <w:i w:val="0"/>
                <w:sz w:val="18"/>
                <w:szCs w:val="18"/>
              </w:rPr>
              <w:t>Information Security Steering Committee (ISSC)</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 April 2026</w:t>
            </w:r>
          </w:p>
        </w:tc>
        <w:tc>
          <w:tcPr>
            <w:tcW w:type="dxa" w:w="3742"/>
          </w:tcPr>
          <w:p>
            <w:r/>
            <w:r>
              <w:rPr>
                <w:rFonts w:ascii="Calibri" w:hAnsi="Calibri" w:cs="Calibri" w:eastAsia="Calibri"/>
                <w:b w:val="0"/>
                <w:i w:val="0"/>
                <w:sz w:val="18"/>
                <w:szCs w:val="18"/>
              </w:rPr>
              <w:t>Updated after the November 2025 internal audit (IA-2025-04) to close findings on asset and risk records.</w:t>
            </w:r>
          </w:p>
        </w:tc>
        <w:tc>
          <w:tcPr>
            <w:tcW w:type="dxa" w:w="1587"/>
          </w:tcPr>
          <w:p>
            <w:r/>
            <w:r>
              <w:rPr>
                <w:rFonts w:ascii="Calibri" w:hAnsi="Calibri" w:cs="Calibri" w:eastAsia="Calibri"/>
                <w:b w:val="0"/>
                <w:i w:val="0"/>
                <w:sz w:val="18"/>
                <w:szCs w:val="18"/>
              </w:rPr>
              <w:t>BCM Coordinator, Quality and Risk Management Department</w:t>
            </w:r>
          </w:p>
        </w:tc>
        <w:tc>
          <w:tcPr>
            <w:tcW w:type="dxa" w:w="1531"/>
          </w:tcPr>
          <w:p>
            <w:r/>
            <w:r>
              <w:rPr>
                <w:rFonts w:ascii="Calibri" w:hAnsi="Calibri" w:cs="Calibri" w:eastAsia="Calibri"/>
                <w:b w:val="0"/>
                <w:i w:val="0"/>
                <w:sz w:val="18"/>
                <w:szCs w:val="18"/>
              </w:rPr>
              <w:t>Information Security Steering Committee (ISSC)</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The Business Impact Analysis (BIA) identifies critical business processes, the impact of their disruption over time, and the recovery objectives and resources they need (ID.AM-05, GV.OC-04, GV.OC-05).</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report is used by the units and roles named in its parent document (RC-POL-001) and covers the activities that document defines.</w:t>
      </w:r>
    </w:p>
    <w:p>
      <w:pPr>
        <w:pStyle w:val="Heading2"/>
        <w:keepNext/>
        <w:spacing w:before="120" w:after="80"/>
      </w:pPr>
      <w:r>
        <w:rPr>
          <w:rFonts w:ascii="Calibri" w:hAnsi="Calibri" w:cs="Calibri" w:eastAsia="Calibri"/>
          <w:b/>
          <w:i w:val="0"/>
          <w:color w:val="1F3864"/>
          <w:sz w:val="24"/>
          <w:szCs w:val="24"/>
          <w:bCs/>
        </w:rPr>
        <w:t>4.3 Method</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Describe how impacts are assessed and objectives set (ISO 22301:2019 Clause 8.2.2).</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Interview process owners using a standard questionnaire.</w:t>
      </w:r>
    </w:p>
    <w:p>
      <w:pPr>
        <w:pStyle w:val="ListBullet"/>
        <w:spacing w:after="40"/>
      </w:pPr>
      <w:r>
        <w:rPr>
          <w:rFonts w:ascii="Calibri" w:hAnsi="Calibri" w:cs="Calibri" w:eastAsia="Calibri"/>
          <w:b w:val="0"/>
          <w:i w:val="0"/>
          <w:sz w:val="21"/>
          <w:szCs w:val="21"/>
        </w:rPr>
        <w:t>Assess impact at 1 hour, 4 hours, 24 hours, 72 hours, and 1 week using the impact scale in GV-PRC-001.</w:t>
      </w:r>
    </w:p>
    <w:p>
      <w:pPr>
        <w:pStyle w:val="ListBullet"/>
        <w:spacing w:after="40"/>
      </w:pPr>
      <w:r>
        <w:rPr>
          <w:rFonts w:ascii="Calibri" w:hAnsi="Calibri" w:cs="Calibri" w:eastAsia="Calibri"/>
          <w:b w:val="0"/>
          <w:i w:val="0"/>
          <w:sz w:val="21"/>
          <w:szCs w:val="21"/>
        </w:rPr>
        <w:t>Set the maximum tolerable period of disruption (MTPD), recovery time objective (RTO), and recovery point objective (RPO) for each process.</w:t>
      </w:r>
    </w:p>
    <w:p>
      <w:pPr>
        <w:pStyle w:val="ListBullet"/>
        <w:spacing w:after="40"/>
      </w:pPr>
      <w:r>
        <w:rPr>
          <w:rFonts w:ascii="Calibri" w:hAnsi="Calibri" w:cs="Calibri" w:eastAsia="Calibri"/>
          <w:b w:val="0"/>
          <w:i w:val="0"/>
          <w:sz w:val="21"/>
          <w:szCs w:val="21"/>
        </w:rPr>
        <w:t>Identify dependencies: systems, data, people, suppliers, facilities.</w:t>
      </w:r>
    </w:p>
    <w:p>
      <w:pPr>
        <w:pStyle w:val="ListBullet"/>
        <w:spacing w:after="40"/>
      </w:pPr>
      <w:r>
        <w:rPr>
          <w:rFonts w:ascii="Calibri" w:hAnsi="Calibri" w:cs="Calibri" w:eastAsia="Calibri"/>
          <w:b w:val="0"/>
          <w:i w:val="0"/>
          <w:sz w:val="21"/>
          <w:szCs w:val="21"/>
        </w:rPr>
        <w:t>Validate results with the Information Security Steering Committee (ISSC).</w:t>
      </w:r>
    </w:p>
    <w:p>
      <w:pPr>
        <w:pStyle w:val="Heading2"/>
        <w:keepNext/>
        <w:spacing w:before="120" w:after="80"/>
      </w:pPr>
      <w:r>
        <w:rPr>
          <w:rFonts w:ascii="Calibri" w:hAnsi="Calibri" w:cs="Calibri" w:eastAsia="Calibri"/>
          <w:b/>
          <w:i w:val="0"/>
          <w:color w:val="1F3864"/>
          <w:sz w:val="24"/>
          <w:szCs w:val="24"/>
          <w:bCs/>
        </w:rPr>
        <w:t>4.4 BIA Results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Record each critical process with impact, objectives, and dependencies.</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1559"/>
        <w:gridCol w:w="1559"/>
        <w:gridCol w:w="1559"/>
        <w:gridCol w:w="1559"/>
        <w:gridCol w:w="1559"/>
        <w:gridCol w:w="1559"/>
      </w:tblGrid>
      <w:tr>
        <w:trPr>
          <w:tblHeader w:val="true"/>
        </w:trPr>
        <w:tc>
          <w:tcPr>
            <w:tcW w:type="dxa" w:w="1559"/>
            <w:shd w:val="clear" w:color="auto" w:fill="1F3864"/>
          </w:tcPr>
          <w:p>
            <w:r/>
            <w:r>
              <w:rPr>
                <w:rFonts w:ascii="Calibri" w:hAnsi="Calibri" w:cs="Calibri" w:eastAsia="Calibri"/>
                <w:b/>
                <w:i w:val="0"/>
                <w:color w:val="FFFFFF"/>
                <w:sz w:val="16"/>
                <w:szCs w:val="16"/>
                <w:bCs/>
              </w:rPr>
              <w:t>Process</w:t>
            </w:r>
          </w:p>
        </w:tc>
        <w:tc>
          <w:tcPr>
            <w:tcW w:type="dxa" w:w="1559"/>
            <w:shd w:val="clear" w:color="auto" w:fill="1F3864"/>
          </w:tcPr>
          <w:p>
            <w:r/>
            <w:r>
              <w:rPr>
                <w:rFonts w:ascii="Calibri" w:hAnsi="Calibri" w:cs="Calibri" w:eastAsia="Calibri"/>
                <w:b/>
                <w:i w:val="0"/>
                <w:color w:val="FFFFFF"/>
                <w:sz w:val="16"/>
                <w:szCs w:val="16"/>
                <w:bCs/>
              </w:rPr>
              <w:t>Impact at 4 hours</w:t>
            </w:r>
          </w:p>
        </w:tc>
        <w:tc>
          <w:tcPr>
            <w:tcW w:type="dxa" w:w="1559"/>
            <w:shd w:val="clear" w:color="auto" w:fill="1F3864"/>
          </w:tcPr>
          <w:p>
            <w:r/>
            <w:r>
              <w:rPr>
                <w:rFonts w:ascii="Calibri" w:hAnsi="Calibri" w:cs="Calibri" w:eastAsia="Calibri"/>
                <w:b/>
                <w:i w:val="0"/>
                <w:color w:val="FFFFFF"/>
                <w:sz w:val="16"/>
                <w:szCs w:val="16"/>
                <w:bCs/>
              </w:rPr>
              <w:t>MTPD</w:t>
            </w:r>
          </w:p>
        </w:tc>
        <w:tc>
          <w:tcPr>
            <w:tcW w:type="dxa" w:w="1559"/>
            <w:shd w:val="clear" w:color="auto" w:fill="1F3864"/>
          </w:tcPr>
          <w:p>
            <w:r/>
            <w:r>
              <w:rPr>
                <w:rFonts w:ascii="Calibri" w:hAnsi="Calibri" w:cs="Calibri" w:eastAsia="Calibri"/>
                <w:b/>
                <w:i w:val="0"/>
                <w:color w:val="FFFFFF"/>
                <w:sz w:val="16"/>
                <w:szCs w:val="16"/>
                <w:bCs/>
              </w:rPr>
              <w:t>RTO</w:t>
            </w:r>
          </w:p>
        </w:tc>
        <w:tc>
          <w:tcPr>
            <w:tcW w:type="dxa" w:w="1559"/>
            <w:shd w:val="clear" w:color="auto" w:fill="1F3864"/>
          </w:tcPr>
          <w:p>
            <w:r/>
            <w:r>
              <w:rPr>
                <w:rFonts w:ascii="Calibri" w:hAnsi="Calibri" w:cs="Calibri" w:eastAsia="Calibri"/>
                <w:b/>
                <w:i w:val="0"/>
                <w:color w:val="FFFFFF"/>
                <w:sz w:val="16"/>
                <w:szCs w:val="16"/>
                <w:bCs/>
              </w:rPr>
              <w:t>RPO</w:t>
            </w:r>
          </w:p>
        </w:tc>
        <w:tc>
          <w:tcPr>
            <w:tcW w:type="dxa" w:w="1559"/>
            <w:shd w:val="clear" w:color="auto" w:fill="1F3864"/>
          </w:tcPr>
          <w:p>
            <w:r/>
            <w:r>
              <w:rPr>
                <w:rFonts w:ascii="Calibri" w:hAnsi="Calibri" w:cs="Calibri" w:eastAsia="Calibri"/>
                <w:b/>
                <w:i w:val="0"/>
                <w:color w:val="FFFFFF"/>
                <w:sz w:val="16"/>
                <w:szCs w:val="16"/>
                <w:bCs/>
              </w:rPr>
              <w:t>Key dependencies</w:t>
            </w:r>
          </w:p>
        </w:tc>
      </w:tr>
      <w:tr>
        <w:tc>
          <w:tcPr>
            <w:tcW w:type="dxa" w:w="1559"/>
          </w:tcPr>
          <w:p>
            <w:r/>
            <w:r>
              <w:rPr>
                <w:rFonts w:ascii="Calibri" w:hAnsi="Calibri" w:cs="Calibri" w:eastAsia="Calibri"/>
                <w:b w:val="0"/>
                <w:i w:val="0"/>
                <w:sz w:val="16"/>
                <w:szCs w:val="16"/>
              </w:rPr>
              <w:t>Emergency care</w:t>
            </w:r>
          </w:p>
        </w:tc>
        <w:tc>
          <w:tcPr>
            <w:tcW w:type="dxa" w:w="1559"/>
          </w:tcPr>
          <w:p>
            <w:r/>
            <w:r>
              <w:rPr>
                <w:rFonts w:ascii="Calibri" w:hAnsi="Calibri" w:cs="Calibri" w:eastAsia="Calibri"/>
                <w:b w:val="0"/>
                <w:i w:val="0"/>
                <w:sz w:val="16"/>
                <w:szCs w:val="16"/>
              </w:rPr>
              <w:t>Severe (patient safety)</w:t>
            </w:r>
          </w:p>
        </w:tc>
        <w:tc>
          <w:tcPr>
            <w:tcW w:type="dxa" w:w="1559"/>
          </w:tcPr>
          <w:p>
            <w:r/>
            <w:r>
              <w:rPr>
                <w:rFonts w:ascii="Calibri" w:hAnsi="Calibri" w:cs="Calibri" w:eastAsia="Calibri"/>
                <w:b w:val="0"/>
                <w:i w:val="0"/>
                <w:sz w:val="16"/>
                <w:szCs w:val="16"/>
              </w:rPr>
              <w:t>8 hours</w:t>
            </w:r>
          </w:p>
        </w:tc>
        <w:tc>
          <w:tcPr>
            <w:tcW w:type="dxa" w:w="1559"/>
          </w:tcPr>
          <w:p>
            <w:r/>
            <w:r>
              <w:rPr>
                <w:rFonts w:ascii="Calibri" w:hAnsi="Calibri" w:cs="Calibri" w:eastAsia="Calibri"/>
                <w:b w:val="0"/>
                <w:i w:val="0"/>
                <w:sz w:val="16"/>
                <w:szCs w:val="16"/>
              </w:rPr>
              <w:t>4 hours</w:t>
            </w:r>
          </w:p>
        </w:tc>
        <w:tc>
          <w:tcPr>
            <w:tcW w:type="dxa" w:w="1559"/>
          </w:tcPr>
          <w:p>
            <w:r/>
            <w:r>
              <w:rPr>
                <w:rFonts w:ascii="Calibri" w:hAnsi="Calibri" w:cs="Calibri" w:eastAsia="Calibri"/>
                <w:b w:val="0"/>
                <w:i w:val="0"/>
                <w:sz w:val="16"/>
                <w:szCs w:val="16"/>
              </w:rPr>
              <w:t>15 minutes</w:t>
            </w:r>
          </w:p>
        </w:tc>
        <w:tc>
          <w:tcPr>
            <w:tcW w:type="dxa" w:w="1559"/>
          </w:tcPr>
          <w:p>
            <w:r/>
            <w:r>
              <w:rPr>
                <w:rFonts w:ascii="Calibri" w:hAnsi="Calibri" w:cs="Calibri" w:eastAsia="Calibri"/>
                <w:b w:val="0"/>
                <w:i w:val="0"/>
                <w:sz w:val="16"/>
                <w:szCs w:val="16"/>
              </w:rPr>
              <w:t>HIS, network, Active Directory, LIS, PACS</w:t>
            </w:r>
          </w:p>
        </w:tc>
      </w:tr>
      <w:tr>
        <w:tc>
          <w:tcPr>
            <w:tcW w:type="dxa" w:w="1559"/>
          </w:tcPr>
          <w:p>
            <w:r/>
            <w:r>
              <w:rPr>
                <w:rFonts w:ascii="Calibri" w:hAnsi="Calibri" w:cs="Calibri" w:eastAsia="Calibri"/>
                <w:b w:val="0"/>
                <w:i w:val="0"/>
                <w:sz w:val="16"/>
                <w:szCs w:val="16"/>
              </w:rPr>
              <w:t>Inpatient medication administration</w:t>
            </w:r>
          </w:p>
        </w:tc>
        <w:tc>
          <w:tcPr>
            <w:tcW w:type="dxa" w:w="1559"/>
          </w:tcPr>
          <w:p>
            <w:r/>
            <w:r>
              <w:rPr>
                <w:rFonts w:ascii="Calibri" w:hAnsi="Calibri" w:cs="Calibri" w:eastAsia="Calibri"/>
                <w:b w:val="0"/>
                <w:i w:val="0"/>
                <w:sz w:val="16"/>
                <w:szCs w:val="16"/>
              </w:rPr>
              <w:t>Major</w:t>
            </w:r>
          </w:p>
        </w:tc>
        <w:tc>
          <w:tcPr>
            <w:tcW w:type="dxa" w:w="1559"/>
          </w:tcPr>
          <w:p>
            <w:r/>
            <w:r>
              <w:rPr>
                <w:rFonts w:ascii="Calibri" w:hAnsi="Calibri" w:cs="Calibri" w:eastAsia="Calibri"/>
                <w:b w:val="0"/>
                <w:i w:val="0"/>
                <w:sz w:val="16"/>
                <w:szCs w:val="16"/>
              </w:rPr>
              <w:t>8 hours</w:t>
            </w:r>
          </w:p>
        </w:tc>
        <w:tc>
          <w:tcPr>
            <w:tcW w:type="dxa" w:w="1559"/>
          </w:tcPr>
          <w:p>
            <w:r/>
            <w:r>
              <w:rPr>
                <w:rFonts w:ascii="Calibri" w:hAnsi="Calibri" w:cs="Calibri" w:eastAsia="Calibri"/>
                <w:b w:val="0"/>
                <w:i w:val="0"/>
                <w:sz w:val="16"/>
                <w:szCs w:val="16"/>
              </w:rPr>
              <w:t>4 hours</w:t>
            </w:r>
          </w:p>
        </w:tc>
        <w:tc>
          <w:tcPr>
            <w:tcW w:type="dxa" w:w="1559"/>
          </w:tcPr>
          <w:p>
            <w:r/>
            <w:r>
              <w:rPr>
                <w:rFonts w:ascii="Calibri" w:hAnsi="Calibri" w:cs="Calibri" w:eastAsia="Calibri"/>
                <w:b w:val="0"/>
                <w:i w:val="0"/>
                <w:sz w:val="16"/>
                <w:szCs w:val="16"/>
              </w:rPr>
              <w:t>15 minutes</w:t>
            </w:r>
          </w:p>
        </w:tc>
        <w:tc>
          <w:tcPr>
            <w:tcW w:type="dxa" w:w="1559"/>
          </w:tcPr>
          <w:p>
            <w:r/>
            <w:r>
              <w:rPr>
                <w:rFonts w:ascii="Calibri" w:hAnsi="Calibri" w:cs="Calibri" w:eastAsia="Calibri"/>
                <w:b w:val="0"/>
                <w:i w:val="0"/>
                <w:sz w:val="16"/>
                <w:szCs w:val="16"/>
              </w:rPr>
              <w:t>HIS pharmacy module, barcode scanners</w:t>
            </w:r>
          </w:p>
        </w:tc>
      </w:tr>
      <w:tr>
        <w:tc>
          <w:tcPr>
            <w:tcW w:type="dxa" w:w="1559"/>
          </w:tcPr>
          <w:p>
            <w:r/>
            <w:r>
              <w:rPr>
                <w:rFonts w:ascii="Calibri" w:hAnsi="Calibri" w:cs="Calibri" w:eastAsia="Calibri"/>
                <w:b w:val="0"/>
                <w:i w:val="0"/>
                <w:sz w:val="16"/>
                <w:szCs w:val="16"/>
              </w:rPr>
              <w:t>Diagnostic imaging</w:t>
            </w:r>
          </w:p>
        </w:tc>
        <w:tc>
          <w:tcPr>
            <w:tcW w:type="dxa" w:w="1559"/>
          </w:tcPr>
          <w:p>
            <w:r/>
            <w:r>
              <w:rPr>
                <w:rFonts w:ascii="Calibri" w:hAnsi="Calibri" w:cs="Calibri" w:eastAsia="Calibri"/>
                <w:b w:val="0"/>
                <w:i w:val="0"/>
                <w:sz w:val="16"/>
                <w:szCs w:val="16"/>
              </w:rPr>
              <w:t>Major</w:t>
            </w:r>
          </w:p>
        </w:tc>
        <w:tc>
          <w:tcPr>
            <w:tcW w:type="dxa" w:w="1559"/>
          </w:tcPr>
          <w:p>
            <w:r/>
            <w:r>
              <w:rPr>
                <w:rFonts w:ascii="Calibri" w:hAnsi="Calibri" w:cs="Calibri" w:eastAsia="Calibri"/>
                <w:b w:val="0"/>
                <w:i w:val="0"/>
                <w:sz w:val="16"/>
                <w:szCs w:val="16"/>
              </w:rPr>
              <w:t>24 hours</w:t>
            </w:r>
          </w:p>
        </w:tc>
        <w:tc>
          <w:tcPr>
            <w:tcW w:type="dxa" w:w="1559"/>
          </w:tcPr>
          <w:p>
            <w:r/>
            <w:r>
              <w:rPr>
                <w:rFonts w:ascii="Calibri" w:hAnsi="Calibri" w:cs="Calibri" w:eastAsia="Calibri"/>
                <w:b w:val="0"/>
                <w:i w:val="0"/>
                <w:sz w:val="16"/>
                <w:szCs w:val="16"/>
              </w:rPr>
              <w:t>8 hours</w:t>
            </w:r>
          </w:p>
        </w:tc>
        <w:tc>
          <w:tcPr>
            <w:tcW w:type="dxa" w:w="1559"/>
          </w:tcPr>
          <w:p>
            <w:r/>
            <w:r>
              <w:rPr>
                <w:rFonts w:ascii="Calibri" w:hAnsi="Calibri" w:cs="Calibri" w:eastAsia="Calibri"/>
                <w:b w:val="0"/>
                <w:i w:val="0"/>
                <w:sz w:val="16"/>
                <w:szCs w:val="16"/>
              </w:rPr>
              <w:t>1 hour</w:t>
            </w:r>
          </w:p>
        </w:tc>
        <w:tc>
          <w:tcPr>
            <w:tcW w:type="dxa" w:w="1559"/>
          </w:tcPr>
          <w:p>
            <w:r/>
            <w:r>
              <w:rPr>
                <w:rFonts w:ascii="Calibri" w:hAnsi="Calibri" w:cs="Calibri" w:eastAsia="Calibri"/>
                <w:b w:val="0"/>
                <w:i w:val="0"/>
                <w:sz w:val="16"/>
                <w:szCs w:val="16"/>
              </w:rPr>
              <w:t>PACS, modalities, Vendor B</w:t>
            </w:r>
          </w:p>
        </w:tc>
      </w:tr>
      <w:tr>
        <w:tc>
          <w:tcPr>
            <w:tcW w:type="dxa" w:w="1559"/>
          </w:tcPr>
          <w:p>
            <w:r/>
            <w:r>
              <w:rPr>
                <w:rFonts w:ascii="Calibri" w:hAnsi="Calibri" w:cs="Calibri" w:eastAsia="Calibri"/>
                <w:b w:val="0"/>
                <w:i w:val="0"/>
                <w:sz w:val="16"/>
                <w:szCs w:val="16"/>
              </w:rPr>
              <w:t>Laboratory testing</w:t>
            </w:r>
          </w:p>
        </w:tc>
        <w:tc>
          <w:tcPr>
            <w:tcW w:type="dxa" w:w="1559"/>
          </w:tcPr>
          <w:p>
            <w:r/>
            <w:r>
              <w:rPr>
                <w:rFonts w:ascii="Calibri" w:hAnsi="Calibri" w:cs="Calibri" w:eastAsia="Calibri"/>
                <w:b w:val="0"/>
                <w:i w:val="0"/>
                <w:sz w:val="16"/>
                <w:szCs w:val="16"/>
              </w:rPr>
              <w:t>Major</w:t>
            </w:r>
          </w:p>
        </w:tc>
        <w:tc>
          <w:tcPr>
            <w:tcW w:type="dxa" w:w="1559"/>
          </w:tcPr>
          <w:p>
            <w:r/>
            <w:r>
              <w:rPr>
                <w:rFonts w:ascii="Calibri" w:hAnsi="Calibri" w:cs="Calibri" w:eastAsia="Calibri"/>
                <w:b w:val="0"/>
                <w:i w:val="0"/>
                <w:sz w:val="16"/>
                <w:szCs w:val="16"/>
              </w:rPr>
              <w:t>24 hours</w:t>
            </w:r>
          </w:p>
        </w:tc>
        <w:tc>
          <w:tcPr>
            <w:tcW w:type="dxa" w:w="1559"/>
          </w:tcPr>
          <w:p>
            <w:r/>
            <w:r>
              <w:rPr>
                <w:rFonts w:ascii="Calibri" w:hAnsi="Calibri" w:cs="Calibri" w:eastAsia="Calibri"/>
                <w:b w:val="0"/>
                <w:i w:val="0"/>
                <w:sz w:val="16"/>
                <w:szCs w:val="16"/>
              </w:rPr>
              <w:t>8 hours</w:t>
            </w:r>
          </w:p>
        </w:tc>
        <w:tc>
          <w:tcPr>
            <w:tcW w:type="dxa" w:w="1559"/>
          </w:tcPr>
          <w:p>
            <w:r/>
            <w:r>
              <w:rPr>
                <w:rFonts w:ascii="Calibri" w:hAnsi="Calibri" w:cs="Calibri" w:eastAsia="Calibri"/>
                <w:b w:val="0"/>
                <w:i w:val="0"/>
                <w:sz w:val="16"/>
                <w:szCs w:val="16"/>
              </w:rPr>
              <w:t>1 hour</w:t>
            </w:r>
          </w:p>
        </w:tc>
        <w:tc>
          <w:tcPr>
            <w:tcW w:type="dxa" w:w="1559"/>
          </w:tcPr>
          <w:p>
            <w:r/>
            <w:r>
              <w:rPr>
                <w:rFonts w:ascii="Calibri" w:hAnsi="Calibri" w:cs="Calibri" w:eastAsia="Calibri"/>
                <w:b w:val="0"/>
                <w:i w:val="0"/>
                <w:sz w:val="16"/>
                <w:szCs w:val="16"/>
              </w:rPr>
              <w:t>LIS, analyzers, HL7 interface</w:t>
            </w:r>
          </w:p>
        </w:tc>
      </w:tr>
      <w:tr>
        <w:tc>
          <w:tcPr>
            <w:tcW w:type="dxa" w:w="1559"/>
          </w:tcPr>
          <w:p>
            <w:r/>
            <w:r>
              <w:rPr>
                <w:rFonts w:ascii="Calibri" w:hAnsi="Calibri" w:cs="Calibri" w:eastAsia="Calibri"/>
                <w:b w:val="0"/>
                <w:i w:val="0"/>
                <w:sz w:val="16"/>
                <w:szCs w:val="16"/>
              </w:rPr>
              <w:t>Billing and claims</w:t>
            </w:r>
          </w:p>
        </w:tc>
        <w:tc>
          <w:tcPr>
            <w:tcW w:type="dxa" w:w="1559"/>
          </w:tcPr>
          <w:p>
            <w:r/>
            <w:r>
              <w:rPr>
                <w:rFonts w:ascii="Calibri" w:hAnsi="Calibri" w:cs="Calibri" w:eastAsia="Calibri"/>
                <w:b w:val="0"/>
                <w:i w:val="0"/>
                <w:sz w:val="16"/>
                <w:szCs w:val="16"/>
              </w:rPr>
              <w:t>Moderate</w:t>
            </w:r>
          </w:p>
        </w:tc>
        <w:tc>
          <w:tcPr>
            <w:tcW w:type="dxa" w:w="1559"/>
          </w:tcPr>
          <w:p>
            <w:r/>
            <w:r>
              <w:rPr>
                <w:rFonts w:ascii="Calibri" w:hAnsi="Calibri" w:cs="Calibri" w:eastAsia="Calibri"/>
                <w:b w:val="0"/>
                <w:i w:val="0"/>
                <w:sz w:val="16"/>
                <w:szCs w:val="16"/>
              </w:rPr>
              <w:t>72 hours</w:t>
            </w:r>
          </w:p>
        </w:tc>
        <w:tc>
          <w:tcPr>
            <w:tcW w:type="dxa" w:w="1559"/>
          </w:tcPr>
          <w:p>
            <w:r/>
            <w:r>
              <w:rPr>
                <w:rFonts w:ascii="Calibri" w:hAnsi="Calibri" w:cs="Calibri" w:eastAsia="Calibri"/>
                <w:b w:val="0"/>
                <w:i w:val="0"/>
                <w:sz w:val="16"/>
                <w:szCs w:val="16"/>
              </w:rPr>
              <w:t>24 hours</w:t>
            </w:r>
          </w:p>
        </w:tc>
        <w:tc>
          <w:tcPr>
            <w:tcW w:type="dxa" w:w="1559"/>
          </w:tcPr>
          <w:p>
            <w:r/>
            <w:r>
              <w:rPr>
                <w:rFonts w:ascii="Calibri" w:hAnsi="Calibri" w:cs="Calibri" w:eastAsia="Calibri"/>
                <w:b w:val="0"/>
                <w:i w:val="0"/>
                <w:sz w:val="16"/>
                <w:szCs w:val="16"/>
              </w:rPr>
              <w:t>4 hours</w:t>
            </w:r>
          </w:p>
        </w:tc>
        <w:tc>
          <w:tcPr>
            <w:tcW w:type="dxa" w:w="1559"/>
          </w:tcPr>
          <w:p>
            <w:r/>
            <w:r>
              <w:rPr>
                <w:rFonts w:ascii="Calibri" w:hAnsi="Calibri" w:cs="Calibri" w:eastAsia="Calibri"/>
                <w:b w:val="0"/>
                <w:i w:val="0"/>
                <w:sz w:val="16"/>
                <w:szCs w:val="16"/>
              </w:rPr>
              <w:t>HIS billing, ERP, insurer portals</w:t>
            </w:r>
          </w:p>
        </w:tc>
      </w:tr>
      <w:tr>
        <w:tc>
          <w:tcPr>
            <w:tcW w:type="dxa" w:w="1559"/>
          </w:tcPr>
          <w:p>
            <w:r/>
            <w:r>
              <w:rPr>
                <w:rFonts w:ascii="Calibri" w:hAnsi="Calibri" w:cs="Calibri" w:eastAsia="Calibri"/>
                <w:b w:val="0"/>
                <w:i w:val="0"/>
                <w:sz w:val="16"/>
                <w:szCs w:val="16"/>
              </w:rPr>
              <w:t>Payroll</w:t>
            </w:r>
          </w:p>
        </w:tc>
        <w:tc>
          <w:tcPr>
            <w:tcW w:type="dxa" w:w="1559"/>
          </w:tcPr>
          <w:p>
            <w:r/>
            <w:r>
              <w:rPr>
                <w:rFonts w:ascii="Calibri" w:hAnsi="Calibri" w:cs="Calibri" w:eastAsia="Calibri"/>
                <w:b w:val="0"/>
                <w:i w:val="0"/>
                <w:sz w:val="16"/>
                <w:szCs w:val="16"/>
              </w:rPr>
              <w:t>Minor at 4 hours</w:t>
            </w:r>
          </w:p>
        </w:tc>
        <w:tc>
          <w:tcPr>
            <w:tcW w:type="dxa" w:w="1559"/>
          </w:tcPr>
          <w:p>
            <w:r/>
            <w:r>
              <w:rPr>
                <w:rFonts w:ascii="Calibri" w:hAnsi="Calibri" w:cs="Calibri" w:eastAsia="Calibri"/>
                <w:b w:val="0"/>
                <w:i w:val="0"/>
                <w:sz w:val="16"/>
                <w:szCs w:val="16"/>
              </w:rPr>
              <w:t>1 week</w:t>
            </w:r>
          </w:p>
        </w:tc>
        <w:tc>
          <w:tcPr>
            <w:tcW w:type="dxa" w:w="1559"/>
          </w:tcPr>
          <w:p>
            <w:r/>
            <w:r>
              <w:rPr>
                <w:rFonts w:ascii="Calibri" w:hAnsi="Calibri" w:cs="Calibri" w:eastAsia="Calibri"/>
                <w:b w:val="0"/>
                <w:i w:val="0"/>
                <w:sz w:val="16"/>
                <w:szCs w:val="16"/>
              </w:rPr>
              <w:t>72 hours</w:t>
            </w:r>
          </w:p>
        </w:tc>
        <w:tc>
          <w:tcPr>
            <w:tcW w:type="dxa" w:w="1559"/>
          </w:tcPr>
          <w:p>
            <w:r/>
            <w:r>
              <w:rPr>
                <w:rFonts w:ascii="Calibri" w:hAnsi="Calibri" w:cs="Calibri" w:eastAsia="Calibri"/>
                <w:b w:val="0"/>
                <w:i w:val="0"/>
                <w:sz w:val="16"/>
                <w:szCs w:val="16"/>
              </w:rPr>
              <w:t>24 hours</w:t>
            </w:r>
          </w:p>
        </w:tc>
        <w:tc>
          <w:tcPr>
            <w:tcW w:type="dxa" w:w="1559"/>
          </w:tcPr>
          <w:p>
            <w:r/>
            <w:r>
              <w:rPr>
                <w:rFonts w:ascii="Calibri" w:hAnsi="Calibri" w:cs="Calibri" w:eastAsia="Calibri"/>
                <w:b w:val="0"/>
                <w:i w:val="0"/>
                <w:sz w:val="16"/>
                <w:szCs w:val="16"/>
              </w:rPr>
              <w:t>ERP, bank file transfer</w:t>
            </w:r>
          </w:p>
        </w:tc>
      </w:tr>
    </w:tbl>
    <w:p>
      <w:pPr>
        <w:spacing w:after="40"/>
      </w:pP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Let process owners own the impact ratings; IT should not guess business impact.</w:t>
      </w:r>
    </w:p>
    <w:p>
      <w:pPr>
        <w:pStyle w:val="ListBullet"/>
        <w:spacing w:after="40"/>
      </w:pPr>
      <w:r>
        <w:rPr>
          <w:rFonts w:ascii="Calibri" w:hAnsi="Calibri" w:cs="Calibri" w:eastAsia="Calibri"/>
          <w:b w:val="0"/>
          <w:i w:val="0"/>
          <w:sz w:val="21"/>
          <w:szCs w:val="21"/>
        </w:rPr>
        <w:t>Compare RTO requirements with tested recovery capability and report the gap.</w:t>
      </w:r>
    </w:p>
    <w:p>
      <w:pPr>
        <w:pStyle w:val="ListBullet"/>
        <w:spacing w:after="40"/>
      </w:pPr>
      <w:r>
        <w:rPr>
          <w:rFonts w:ascii="Calibri" w:hAnsi="Calibri" w:cs="Calibri" w:eastAsia="Calibri"/>
          <w:b w:val="0"/>
          <w:i w:val="0"/>
          <w:sz w:val="21"/>
          <w:szCs w:val="21"/>
        </w:rPr>
        <w:t>Refresh the BIA every year or after major business change.</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Every process is rated critical with a 1-hour RTO, which no budget can support.</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ID.AM-05: Assets are prioritized based on classification, criticality, resources, and impact on the mission</w:t>
            </w:r>
          </w:p>
          <w:p>
            <w:r>
              <w:rPr>
                <w:rFonts w:ascii="Calibri" w:hAnsi="Calibri" w:cs="Calibri" w:eastAsia="Calibri"/>
                <w:b w:val="0"/>
                <w:i w:val="0"/>
                <w:sz w:val="18"/>
                <w:szCs w:val="18"/>
              </w:rPr>
              <w:t>GV.OC-04: Critical objectives, capabilities, and services that external stakeholders depend on are understood</w:t>
            </w:r>
          </w:p>
          <w:p>
            <w:r>
              <w:rPr>
                <w:rFonts w:ascii="Calibri" w:hAnsi="Calibri" w:cs="Calibri" w:eastAsia="Calibri"/>
                <w:b w:val="0"/>
                <w:i w:val="0"/>
                <w:sz w:val="18"/>
                <w:szCs w:val="18"/>
              </w:rPr>
              <w:t>GV.OC-05: Outcomes, capabilities, and services that the organization depends on are understood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A.5.29, Annex A.5.30</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CP-2(8), RA-9</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 22301:2019 Clause 8.2.2; CRC Notification on CII duties 2024 (BCP criteria) [VERIFY]</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RC-POL-001: Business Continuity Management Policy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ID-RPT-002  |  Business Impact Analysis (BIA)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