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Asset Management Standard</w:t>
      </w:r>
    </w:p>
    <w:p>
      <w:pPr>
        <w:spacing w:after="80" w:before="0"/>
      </w:pPr>
      <w:r>
        <w:rPr>
          <w:rFonts w:ascii="Calibri" w:hAnsi="Calibri" w:cs="Calibri" w:eastAsia="Calibri"/>
          <w:b w:val="0"/>
          <w:i w:val="0"/>
          <w:color w:val="595959"/>
          <w:sz w:val="18"/>
          <w:szCs w:val="18"/>
        </w:rPr>
        <w:t>ID-STD-001  |  Standard  |  Asset Management (ID.AM)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ID-STD-001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Asset Management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5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5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Asset Management (ID.AM)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5.9 and 5.11; CIS Controls v8.1 Controls 1 and 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6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5 April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requirements for identifying, recording, classifying, owning, and managing information assets throughout their life cycle (ID.AM).</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Asset Categories and Inventories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asset categories and the inventory where each is recorded.</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4252"/>
        <w:gridCol w:w="2835"/>
      </w:tblGrid>
      <w:tr>
        <w:trPr>
          <w:tblHeader w:val="true"/>
        </w:trPr>
        <w:tc>
          <w:tcPr>
            <w:tcW w:type="dxa" w:w="2268"/>
            <w:shd w:val="clear" w:color="auto" w:fill="1F3864"/>
          </w:tcPr>
          <w:p>
            <w:r/>
            <w:r>
              <w:rPr>
                <w:rFonts w:ascii="Calibri" w:hAnsi="Calibri" w:cs="Calibri" w:eastAsia="Calibri"/>
                <w:b/>
                <w:i w:val="0"/>
                <w:color w:val="FFFFFF"/>
                <w:sz w:val="18"/>
                <w:szCs w:val="18"/>
                <w:bCs/>
              </w:rPr>
              <w:t>Category</w:t>
            </w:r>
          </w:p>
        </w:tc>
        <w:tc>
          <w:tcPr>
            <w:tcW w:type="dxa" w:w="4252"/>
            <w:shd w:val="clear" w:color="auto" w:fill="1F3864"/>
          </w:tcPr>
          <w:p>
            <w:r/>
            <w:r>
              <w:rPr>
                <w:rFonts w:ascii="Calibri" w:hAnsi="Calibri" w:cs="Calibri" w:eastAsia="Calibri"/>
                <w:b/>
                <w:i w:val="0"/>
                <w:color w:val="FFFFFF"/>
                <w:sz w:val="18"/>
                <w:szCs w:val="18"/>
                <w:bCs/>
              </w:rPr>
              <w:t>Examples</w:t>
            </w:r>
          </w:p>
        </w:tc>
        <w:tc>
          <w:tcPr>
            <w:tcW w:type="dxa" w:w="2835"/>
            <w:shd w:val="clear" w:color="auto" w:fill="1F3864"/>
          </w:tcPr>
          <w:p>
            <w:r/>
            <w:r>
              <w:rPr>
                <w:rFonts w:ascii="Calibri" w:hAnsi="Calibri" w:cs="Calibri" w:eastAsia="Calibri"/>
                <w:b/>
                <w:i w:val="0"/>
                <w:color w:val="FFFFFF"/>
                <w:sz w:val="18"/>
                <w:szCs w:val="18"/>
                <w:bCs/>
              </w:rPr>
              <w:t>Inventory</w:t>
            </w:r>
          </w:p>
        </w:tc>
      </w:tr>
      <w:tr>
        <w:tc>
          <w:tcPr>
            <w:tcW w:type="dxa" w:w="2268"/>
          </w:tcPr>
          <w:p>
            <w:r/>
            <w:r>
              <w:rPr>
                <w:rFonts w:ascii="Calibri" w:hAnsi="Calibri" w:cs="Calibri" w:eastAsia="Calibri"/>
                <w:b w:val="0"/>
                <w:i w:val="0"/>
                <w:sz w:val="18"/>
                <w:szCs w:val="18"/>
              </w:rPr>
              <w:t>Hardware</w:t>
            </w:r>
          </w:p>
        </w:tc>
        <w:tc>
          <w:tcPr>
            <w:tcW w:type="dxa" w:w="4252"/>
          </w:tcPr>
          <w:p>
            <w:r/>
            <w:r>
              <w:rPr>
                <w:rFonts w:ascii="Calibri" w:hAnsi="Calibri" w:cs="Calibri" w:eastAsia="Calibri"/>
                <w:b w:val="0"/>
                <w:i w:val="0"/>
                <w:sz w:val="18"/>
                <w:szCs w:val="18"/>
              </w:rPr>
              <w:t>Servers, endpoints, network devices, mobile devices</w:t>
            </w:r>
          </w:p>
        </w:tc>
        <w:tc>
          <w:tcPr>
            <w:tcW w:type="dxa" w:w="2835"/>
          </w:tcPr>
          <w:p>
            <w:r/>
            <w:r>
              <w:rPr>
                <w:rFonts w:ascii="Calibri" w:hAnsi="Calibri" w:cs="Calibri" w:eastAsia="Calibri"/>
                <w:b w:val="0"/>
                <w:i w:val="0"/>
                <w:sz w:val="18"/>
                <w:szCs w:val="18"/>
              </w:rPr>
              <w:t>ID-REG-001</w:t>
            </w:r>
          </w:p>
        </w:tc>
      </w:tr>
      <w:tr>
        <w:tc>
          <w:tcPr>
            <w:tcW w:type="dxa" w:w="2268"/>
          </w:tcPr>
          <w:p>
            <w:r/>
            <w:r>
              <w:rPr>
                <w:rFonts w:ascii="Calibri" w:hAnsi="Calibri" w:cs="Calibri" w:eastAsia="Calibri"/>
                <w:b w:val="0"/>
                <w:i w:val="0"/>
                <w:sz w:val="18"/>
                <w:szCs w:val="18"/>
              </w:rPr>
              <w:t>Software and services</w:t>
            </w:r>
          </w:p>
        </w:tc>
        <w:tc>
          <w:tcPr>
            <w:tcW w:type="dxa" w:w="4252"/>
          </w:tcPr>
          <w:p>
            <w:r/>
            <w:r>
              <w:rPr>
                <w:rFonts w:ascii="Calibri" w:hAnsi="Calibri" w:cs="Calibri" w:eastAsia="Calibri"/>
                <w:b w:val="0"/>
                <w:i w:val="0"/>
                <w:sz w:val="18"/>
                <w:szCs w:val="18"/>
              </w:rPr>
              <w:t>Applications, operating systems, SaaS, cloud services</w:t>
            </w:r>
          </w:p>
        </w:tc>
        <w:tc>
          <w:tcPr>
            <w:tcW w:type="dxa" w:w="2835"/>
          </w:tcPr>
          <w:p>
            <w:r/>
            <w:r>
              <w:rPr>
                <w:rFonts w:ascii="Calibri" w:hAnsi="Calibri" w:cs="Calibri" w:eastAsia="Calibri"/>
                <w:b w:val="0"/>
                <w:i w:val="0"/>
                <w:sz w:val="18"/>
                <w:szCs w:val="18"/>
              </w:rPr>
              <w:t>ID-REG-002</w:t>
            </w:r>
          </w:p>
        </w:tc>
      </w:tr>
      <w:tr>
        <w:tc>
          <w:tcPr>
            <w:tcW w:type="dxa" w:w="2268"/>
          </w:tcPr>
          <w:p>
            <w:r/>
            <w:r>
              <w:rPr>
                <w:rFonts w:ascii="Calibri" w:hAnsi="Calibri" w:cs="Calibri" w:eastAsia="Calibri"/>
                <w:b w:val="0"/>
                <w:i w:val="0"/>
                <w:sz w:val="18"/>
                <w:szCs w:val="18"/>
              </w:rPr>
              <w:t>Data</w:t>
            </w:r>
          </w:p>
        </w:tc>
        <w:tc>
          <w:tcPr>
            <w:tcW w:type="dxa" w:w="4252"/>
          </w:tcPr>
          <w:p>
            <w:r/>
            <w:r>
              <w:rPr>
                <w:rFonts w:ascii="Calibri" w:hAnsi="Calibri" w:cs="Calibri" w:eastAsia="Calibri"/>
                <w:b w:val="0"/>
                <w:i w:val="0"/>
                <w:sz w:val="18"/>
                <w:szCs w:val="18"/>
              </w:rPr>
              <w:t>Databases, file shares, data sets with personal data</w:t>
            </w:r>
          </w:p>
        </w:tc>
        <w:tc>
          <w:tcPr>
            <w:tcW w:type="dxa" w:w="2835"/>
          </w:tcPr>
          <w:p>
            <w:r/>
            <w:r>
              <w:rPr>
                <w:rFonts w:ascii="Calibri" w:hAnsi="Calibri" w:cs="Calibri" w:eastAsia="Calibri"/>
                <w:b w:val="0"/>
                <w:i w:val="0"/>
                <w:sz w:val="18"/>
                <w:szCs w:val="18"/>
              </w:rPr>
              <w:t>ID-REG-003, GV-REG-007</w:t>
            </w:r>
          </w:p>
        </w:tc>
      </w:tr>
      <w:tr>
        <w:tc>
          <w:tcPr>
            <w:tcW w:type="dxa" w:w="2268"/>
          </w:tcPr>
          <w:p>
            <w:r/>
            <w:r>
              <w:rPr>
                <w:rFonts w:ascii="Calibri" w:hAnsi="Calibri" w:cs="Calibri" w:eastAsia="Calibri"/>
                <w:b w:val="0"/>
                <w:i w:val="0"/>
                <w:sz w:val="18"/>
                <w:szCs w:val="18"/>
              </w:rPr>
              <w:t>OT and medical devices</w:t>
            </w:r>
          </w:p>
        </w:tc>
        <w:tc>
          <w:tcPr>
            <w:tcW w:type="dxa" w:w="4252"/>
          </w:tcPr>
          <w:p>
            <w:r/>
            <w:r>
              <w:rPr>
                <w:rFonts w:ascii="Calibri" w:hAnsi="Calibri" w:cs="Calibri" w:eastAsia="Calibri"/>
                <w:b w:val="0"/>
                <w:i w:val="0"/>
                <w:sz w:val="18"/>
                <w:szCs w:val="18"/>
              </w:rPr>
              <w:t>Building systems, medical and lab devices</w:t>
            </w:r>
          </w:p>
        </w:tc>
        <w:tc>
          <w:tcPr>
            <w:tcW w:type="dxa" w:w="2835"/>
          </w:tcPr>
          <w:p>
            <w:r/>
            <w:r>
              <w:rPr>
                <w:rFonts w:ascii="Calibri" w:hAnsi="Calibri" w:cs="Calibri" w:eastAsia="Calibri"/>
                <w:b w:val="0"/>
                <w:i w:val="0"/>
                <w:sz w:val="18"/>
                <w:szCs w:val="18"/>
              </w:rPr>
              <w:t>ID-REG-004</w:t>
            </w:r>
          </w:p>
        </w:tc>
      </w:tr>
      <w:tr>
        <w:tc>
          <w:tcPr>
            <w:tcW w:type="dxa" w:w="2268"/>
          </w:tcPr>
          <w:p>
            <w:r/>
            <w:r>
              <w:rPr>
                <w:rFonts w:ascii="Calibri" w:hAnsi="Calibri" w:cs="Calibri" w:eastAsia="Calibri"/>
                <w:b w:val="0"/>
                <w:i w:val="0"/>
                <w:sz w:val="18"/>
                <w:szCs w:val="18"/>
              </w:rPr>
              <w:t>Supplier services</w:t>
            </w:r>
          </w:p>
        </w:tc>
        <w:tc>
          <w:tcPr>
            <w:tcW w:type="dxa" w:w="4252"/>
          </w:tcPr>
          <w:p>
            <w:r/>
            <w:r>
              <w:rPr>
                <w:rFonts w:ascii="Calibri" w:hAnsi="Calibri" w:cs="Calibri" w:eastAsia="Calibri"/>
                <w:b w:val="0"/>
                <w:i w:val="0"/>
                <w:sz w:val="18"/>
                <w:szCs w:val="18"/>
              </w:rPr>
              <w:t>Outsourced and cloud services</w:t>
            </w:r>
          </w:p>
        </w:tc>
        <w:tc>
          <w:tcPr>
            <w:tcW w:type="dxa" w:w="2835"/>
          </w:tcPr>
          <w:p>
            <w:r/>
            <w:r>
              <w:rPr>
                <w:rFonts w:ascii="Calibri" w:hAnsi="Calibri" w:cs="Calibri" w:eastAsia="Calibri"/>
                <w:b w:val="0"/>
                <w:i w:val="0"/>
                <w:sz w:val="18"/>
                <w:szCs w:val="18"/>
              </w:rPr>
              <w:t>GV-REG-009</w:t>
            </w:r>
          </w:p>
        </w:tc>
      </w:tr>
    </w:tbl>
    <w:p>
      <w:pPr>
        <w:spacing w:after="40"/>
      </w:pPr>
    </w:p>
    <w:p>
      <w:pPr>
        <w:pStyle w:val="Heading2"/>
        <w:keepNext/>
        <w:spacing w:before="120" w:after="80"/>
      </w:pPr>
      <w:r>
        <w:rPr>
          <w:rFonts w:ascii="Calibri" w:hAnsi="Calibri" w:cs="Calibri" w:eastAsia="Calibri"/>
          <w:b/>
          <w:i w:val="0"/>
          <w:color w:val="1F3864"/>
          <w:sz w:val="24"/>
          <w:szCs w:val="24"/>
          <w:bCs/>
        </w:rPr>
        <w:t>4.4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measurable asset management requirements.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020"/>
        <w:gridCol w:w="8334"/>
      </w:tblGrid>
      <w:tr>
        <w:trPr>
          <w:tblHeader w:val="true"/>
        </w:trPr>
        <w:tc>
          <w:tcPr>
            <w:tcW w:type="dxa" w:w="1020"/>
            <w:shd w:val="clear" w:color="auto" w:fill="1F3864"/>
          </w:tcPr>
          <w:p>
            <w:r/>
            <w:r>
              <w:rPr>
                <w:rFonts w:ascii="Calibri" w:hAnsi="Calibri" w:cs="Calibri" w:eastAsia="Calibri"/>
                <w:b/>
                <w:i w:val="0"/>
                <w:color w:val="FFFFFF"/>
                <w:sz w:val="18"/>
                <w:szCs w:val="18"/>
                <w:bCs/>
              </w:rPr>
              <w:t>ID</w:t>
            </w:r>
          </w:p>
        </w:tc>
        <w:tc>
          <w:tcPr>
            <w:tcW w:type="dxa" w:w="8334"/>
            <w:shd w:val="clear" w:color="auto" w:fill="1F3864"/>
          </w:tcPr>
          <w:p>
            <w:r/>
            <w:r>
              <w:rPr>
                <w:rFonts w:ascii="Calibri" w:hAnsi="Calibri" w:cs="Calibri" w:eastAsia="Calibri"/>
                <w:b/>
                <w:i w:val="0"/>
                <w:color w:val="FFFFFF"/>
                <w:sz w:val="18"/>
                <w:szCs w:val="18"/>
                <w:bCs/>
              </w:rPr>
              <w:t>Requirement</w:t>
            </w:r>
          </w:p>
        </w:tc>
      </w:tr>
      <w:tr>
        <w:tc>
          <w:tcPr>
            <w:tcW w:type="dxa" w:w="1020"/>
          </w:tcPr>
          <w:p>
            <w:r/>
            <w:r>
              <w:rPr>
                <w:rFonts w:ascii="Calibri" w:hAnsi="Calibri" w:cs="Calibri" w:eastAsia="Calibri"/>
                <w:b w:val="0"/>
                <w:i w:val="0"/>
                <w:sz w:val="18"/>
                <w:szCs w:val="18"/>
              </w:rPr>
              <w:t>AM-01</w:t>
            </w:r>
          </w:p>
        </w:tc>
        <w:tc>
          <w:tcPr>
            <w:tcW w:type="dxa" w:w="8334"/>
          </w:tcPr>
          <w:p>
            <w:r/>
            <w:r>
              <w:rPr>
                <w:rFonts w:ascii="Calibri" w:hAnsi="Calibri" w:cs="Calibri" w:eastAsia="Calibri"/>
                <w:b w:val="0"/>
                <w:i w:val="0"/>
                <w:sz w:val="18"/>
                <w:szCs w:val="18"/>
              </w:rPr>
              <w:t>Every asset is recorded in the correct inventory before connection to the network or use in production.</w:t>
            </w:r>
          </w:p>
        </w:tc>
      </w:tr>
      <w:tr>
        <w:tc>
          <w:tcPr>
            <w:tcW w:type="dxa" w:w="1020"/>
          </w:tcPr>
          <w:p>
            <w:r/>
            <w:r>
              <w:rPr>
                <w:rFonts w:ascii="Calibri" w:hAnsi="Calibri" w:cs="Calibri" w:eastAsia="Calibri"/>
                <w:b w:val="0"/>
                <w:i w:val="0"/>
                <w:sz w:val="18"/>
                <w:szCs w:val="18"/>
              </w:rPr>
              <w:t>AM-02</w:t>
            </w:r>
          </w:p>
        </w:tc>
        <w:tc>
          <w:tcPr>
            <w:tcW w:type="dxa" w:w="8334"/>
          </w:tcPr>
          <w:p>
            <w:r/>
            <w:r>
              <w:rPr>
                <w:rFonts w:ascii="Calibri" w:hAnsi="Calibri" w:cs="Calibri" w:eastAsia="Calibri"/>
                <w:b w:val="0"/>
                <w:i w:val="0"/>
                <w:sz w:val="18"/>
                <w:szCs w:val="18"/>
              </w:rPr>
              <w:t>Every asset has a named owner responsible for its protection and life cycle.</w:t>
            </w:r>
          </w:p>
        </w:tc>
      </w:tr>
      <w:tr>
        <w:tc>
          <w:tcPr>
            <w:tcW w:type="dxa" w:w="1020"/>
          </w:tcPr>
          <w:p>
            <w:r/>
            <w:r>
              <w:rPr>
                <w:rFonts w:ascii="Calibri" w:hAnsi="Calibri" w:cs="Calibri" w:eastAsia="Calibri"/>
                <w:b w:val="0"/>
                <w:i w:val="0"/>
                <w:sz w:val="18"/>
                <w:szCs w:val="18"/>
              </w:rPr>
              <w:t>AM-03</w:t>
            </w:r>
          </w:p>
        </w:tc>
        <w:tc>
          <w:tcPr>
            <w:tcW w:type="dxa" w:w="8334"/>
          </w:tcPr>
          <w:p>
            <w:r/>
            <w:r>
              <w:rPr>
                <w:rFonts w:ascii="Calibri" w:hAnsi="Calibri" w:cs="Calibri" w:eastAsia="Calibri"/>
                <w:b w:val="0"/>
                <w:i w:val="0"/>
                <w:sz w:val="18"/>
                <w:szCs w:val="18"/>
              </w:rPr>
              <w:t>Each asset has a criticality rating (Critical, High, Medium, Low) derived from the BIA (ID-RPT-002) and a data classification (PR-STD-004) (ID.AM-05).</w:t>
            </w:r>
          </w:p>
        </w:tc>
      </w:tr>
      <w:tr>
        <w:tc>
          <w:tcPr>
            <w:tcW w:type="dxa" w:w="1020"/>
          </w:tcPr>
          <w:p>
            <w:r/>
            <w:r>
              <w:rPr>
                <w:rFonts w:ascii="Calibri" w:hAnsi="Calibri" w:cs="Calibri" w:eastAsia="Calibri"/>
                <w:b w:val="0"/>
                <w:i w:val="0"/>
                <w:sz w:val="18"/>
                <w:szCs w:val="18"/>
              </w:rPr>
              <w:t>AM-04</w:t>
            </w:r>
          </w:p>
        </w:tc>
        <w:tc>
          <w:tcPr>
            <w:tcW w:type="dxa" w:w="8334"/>
          </w:tcPr>
          <w:p>
            <w:r/>
            <w:r>
              <w:rPr>
                <w:rFonts w:ascii="Calibri" w:hAnsi="Calibri" w:cs="Calibri" w:eastAsia="Calibri"/>
                <w:b w:val="0"/>
                <w:i w:val="0"/>
                <w:sz w:val="18"/>
                <w:szCs w:val="18"/>
              </w:rPr>
              <w:t>Automated discovery reconciles inventories at least monthly; unknown devices are investigated within 5 working days.</w:t>
            </w:r>
          </w:p>
        </w:tc>
      </w:tr>
      <w:tr>
        <w:tc>
          <w:tcPr>
            <w:tcW w:type="dxa" w:w="1020"/>
          </w:tcPr>
          <w:p>
            <w:r/>
            <w:r>
              <w:rPr>
                <w:rFonts w:ascii="Calibri" w:hAnsi="Calibri" w:cs="Calibri" w:eastAsia="Calibri"/>
                <w:b w:val="0"/>
                <w:i w:val="0"/>
                <w:sz w:val="18"/>
                <w:szCs w:val="18"/>
              </w:rPr>
              <w:t>AM-05</w:t>
            </w:r>
          </w:p>
        </w:tc>
        <w:tc>
          <w:tcPr>
            <w:tcW w:type="dxa" w:w="8334"/>
          </w:tcPr>
          <w:p>
            <w:r/>
            <w:r>
              <w:rPr>
                <w:rFonts w:ascii="Calibri" w:hAnsi="Calibri" w:cs="Calibri" w:eastAsia="Calibri"/>
                <w:b w:val="0"/>
                <w:i w:val="0"/>
                <w:sz w:val="18"/>
                <w:szCs w:val="18"/>
              </w:rPr>
              <w:t>Inventories record end-of-support dates; assets reaching end of support have a replacement plan or an approved exception.</w:t>
            </w:r>
          </w:p>
        </w:tc>
      </w:tr>
      <w:tr>
        <w:tc>
          <w:tcPr>
            <w:tcW w:type="dxa" w:w="1020"/>
          </w:tcPr>
          <w:p>
            <w:r/>
            <w:r>
              <w:rPr>
                <w:rFonts w:ascii="Calibri" w:hAnsi="Calibri" w:cs="Calibri" w:eastAsia="Calibri"/>
                <w:b w:val="0"/>
                <w:i w:val="0"/>
                <w:sz w:val="18"/>
                <w:szCs w:val="18"/>
              </w:rPr>
              <w:t>AM-06</w:t>
            </w:r>
          </w:p>
        </w:tc>
        <w:tc>
          <w:tcPr>
            <w:tcW w:type="dxa" w:w="8334"/>
          </w:tcPr>
          <w:p>
            <w:r/>
            <w:r>
              <w:rPr>
                <w:rFonts w:ascii="Calibri" w:hAnsi="Calibri" w:cs="Calibri" w:eastAsia="Calibri"/>
                <w:b w:val="0"/>
                <w:i w:val="0"/>
                <w:sz w:val="18"/>
                <w:szCs w:val="18"/>
              </w:rPr>
              <w:t>Assets are returned on termination and disposed of securely (ID-PRC-001).</w:t>
            </w:r>
          </w:p>
        </w:tc>
      </w:tr>
    </w:tbl>
    <w:p>
      <w:pPr>
        <w:spacing w:after="40"/>
      </w:pPr>
    </w:p>
    <w:p>
      <w:pPr>
        <w:pStyle w:val="Heading2"/>
        <w:keepNext/>
        <w:spacing w:before="120" w:after="80"/>
      </w:pPr>
      <w:r>
        <w:rPr>
          <w:rFonts w:ascii="Calibri" w:hAnsi="Calibri" w:cs="Calibri" w:eastAsia="Calibri"/>
          <w:b/>
          <w:i w:val="0"/>
          <w:color w:val="1F3864"/>
          <w:sz w:val="24"/>
          <w:szCs w:val="24"/>
          <w:bCs/>
        </w:rPr>
        <w:t>4.5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Use one configuration management database (CMDB) or asset tool as the source of truth, fed by discovery tools.</w:t>
      </w:r>
    </w:p>
    <w:p>
      <w:pPr>
        <w:pStyle w:val="ListBullet"/>
        <w:spacing w:after="40"/>
      </w:pPr>
      <w:r>
        <w:rPr>
          <w:rFonts w:ascii="Calibri" w:hAnsi="Calibri" w:cs="Calibri" w:eastAsia="Calibri"/>
          <w:b w:val="0"/>
          <w:i w:val="0"/>
          <w:sz w:val="21"/>
          <w:szCs w:val="21"/>
        </w:rPr>
        <w:t>Start with critical assets and expand coverage; a complete but stale inventory is less useful than an accurate partial one.</w:t>
      </w:r>
    </w:p>
    <w:p>
      <w:pPr>
        <w:pStyle w:val="ListBullet"/>
        <w:spacing w:after="40"/>
      </w:pPr>
      <w:r>
        <w:rPr>
          <w:rFonts w:ascii="Calibri" w:hAnsi="Calibri" w:cs="Calibri" w:eastAsia="Calibri"/>
          <w:b w:val="0"/>
          <w:i w:val="0"/>
          <w:sz w:val="21"/>
          <w:szCs w:val="21"/>
        </w:rPr>
        <w:t>Link inventory records to vulnerability and patch data to show exposure per asset.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Finance asset register is used as the security inventory; it misses software, cloud, and leased devices.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ID.AM-01: Inventories of hardware managed by the organization are maintained</w:t>
            </w:r>
          </w:p>
          <w:p>
            <w:r>
              <w:rPr>
                <w:rFonts w:ascii="Calibri" w:hAnsi="Calibri" w:cs="Calibri" w:eastAsia="Calibri"/>
                <w:b w:val="0"/>
                <w:i w:val="0"/>
                <w:sz w:val="18"/>
                <w:szCs w:val="18"/>
              </w:rPr>
              <w:t>ID.AM-02: Inventories of software, services, and systems managed by the organization are maintained</w:t>
            </w:r>
          </w:p>
          <w:p>
            <w:r>
              <w:rPr>
                <w:rFonts w:ascii="Calibri" w:hAnsi="Calibri" w:cs="Calibri" w:eastAsia="Calibri"/>
                <w:b w:val="0"/>
                <w:i w:val="0"/>
                <w:sz w:val="18"/>
                <w:szCs w:val="18"/>
              </w:rPr>
              <w:t>ID.AM-04: Inventories of services provided by suppliers are maintained</w:t>
            </w:r>
          </w:p>
          <w:p>
            <w:r>
              <w:rPr>
                <w:rFonts w:ascii="Calibri" w:hAnsi="Calibri" w:cs="Calibri" w:eastAsia="Calibri"/>
                <w:b w:val="0"/>
                <w:i w:val="0"/>
                <w:sz w:val="18"/>
                <w:szCs w:val="18"/>
              </w:rPr>
              <w:t>ID.AM-05: Assets are prioritized based on classification, criticality, resources, and impact on the mission</w:t>
            </w:r>
          </w:p>
          <w:p>
            <w:r>
              <w:rPr>
                <w:rFonts w:ascii="Calibri" w:hAnsi="Calibri" w:cs="Calibri" w:eastAsia="Calibri"/>
                <w:b w:val="0"/>
                <w:i w:val="0"/>
                <w:sz w:val="18"/>
                <w:szCs w:val="18"/>
              </w:rPr>
              <w:t>ID.AM-07: Inventories of data and corresponding metadata for designated data types are maintained</w:t>
            </w:r>
          </w:p>
          <w:p>
            <w:r>
              <w:rPr>
                <w:rFonts w:ascii="Calibri" w:hAnsi="Calibri" w:cs="Calibri" w:eastAsia="Calibri"/>
                <w:b w:val="0"/>
                <w:i w:val="0"/>
                <w:sz w:val="18"/>
                <w:szCs w:val="18"/>
              </w:rPr>
              <w:t>ID.AM-08: Systems, hardware, software, services, and data are managed throughout their life cycles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A.5.9, Annex A.5.11</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CM-8, PM-5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5.9 and 5.11; CIS Controls v8.1 Controls 1 and 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ID-PRC-001: Asset Lifecycle Management Procedure</w:t>
            </w:r>
          </w:p>
          <w:p>
            <w:r>
              <w:rPr>
                <w:rFonts w:ascii="Calibri" w:hAnsi="Calibri" w:cs="Calibri" w:eastAsia="Calibri"/>
                <w:b w:val="0"/>
                <w:i w:val="0"/>
                <w:sz w:val="18"/>
                <w:szCs w:val="18"/>
              </w:rPr>
              <w:t>ID-REG-001: Hardware Asset Inventory</w:t>
            </w:r>
          </w:p>
          <w:p>
            <w:r>
              <w:rPr>
                <w:rFonts w:ascii="Calibri" w:hAnsi="Calibri" w:cs="Calibri" w:eastAsia="Calibri"/>
                <w:b w:val="0"/>
                <w:i w:val="0"/>
                <w:sz w:val="18"/>
                <w:szCs w:val="18"/>
              </w:rPr>
              <w:t>ID-REG-002: Software and Service Inventory</w:t>
            </w:r>
          </w:p>
          <w:p>
            <w:r>
              <w:rPr>
                <w:rFonts w:ascii="Calibri" w:hAnsi="Calibri" w:cs="Calibri" w:eastAsia="Calibri"/>
                <w:b w:val="0"/>
                <w:i w:val="0"/>
                <w:sz w:val="18"/>
                <w:szCs w:val="18"/>
              </w:rPr>
              <w:t>ID-REG-003: Data Inventory and Data Flow Register</w:t>
            </w:r>
          </w:p>
          <w:p>
            <w:r>
              <w:rPr>
                <w:rFonts w:ascii="Calibri" w:hAnsi="Calibri" w:cs="Calibri" w:eastAsia="Calibri"/>
                <w:b w:val="0"/>
                <w:i w:val="0"/>
                <w:sz w:val="18"/>
                <w:szCs w:val="18"/>
              </w:rPr>
              <w:t>ID-RPT-001: Network Architecture and Data Flow Diagram</w:t>
            </w:r>
          </w:p>
          <w:p>
            <w:r>
              <w:rPr>
                <w:rFonts w:ascii="Calibri" w:hAnsi="Calibri" w:cs="Calibri" w:eastAsia="Calibri"/>
                <w:b w:val="0"/>
                <w:i w:val="0"/>
                <w:sz w:val="18"/>
                <w:szCs w:val="18"/>
              </w:rPr>
              <w:t>ID-REG-004: OT and Medical Device Inventory</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ID-STD-001  |  Asset Management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