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Cybersecurity Exercise and Testing Program</w:t>
      </w:r>
    </w:p>
    <w:p>
      <w:pPr>
        <w:spacing w:after="80" w:before="0"/>
      </w:pPr>
      <w:r>
        <w:rPr>
          <w:rFonts w:ascii="Calibri" w:hAnsi="Calibri" w:cs="Calibri" w:eastAsia="Calibri"/>
          <w:b w:val="0"/>
          <w:i w:val="0"/>
          <w:color w:val="595959"/>
          <w:sz w:val="18"/>
          <w:szCs w:val="18"/>
        </w:rPr>
        <w:t>ID-PLN-002  |  Plan  |  Improvement (ID.IM)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ID-PLN-002</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Cybersecurity Exercise and Testing Program</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Information Security Steering Committee (ISSC)</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20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20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Improvement (ID.IM)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CSA s.56 (readiness tests); CRC Notification on CII duties 2024 (annual BCP exercise) [VERIFY]</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(high priority for CII)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18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20 April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Information Security Steering Committee (ISSC)</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program plans the annual set of cybersecurity tests and exercises (tabletop, technical, recovery) that validate plans and identify improvements (ID.IM-02, ID.IM-04).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Annual Exercise Calendar</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each exercise with type, scenario, participants, and timing.</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984"/>
        <w:gridCol w:w="1701"/>
        <w:gridCol w:w="2268"/>
        <w:gridCol w:w="1984"/>
        <w:gridCol w:w="1417"/>
      </w:tblGrid>
      <w:tr>
        <w:trPr>
          <w:tblHeader w:val="true"/>
        </w:trPr>
        <w:tc>
          <w:tcPr>
            <w:tcW w:type="dxa" w:w="1984"/>
            <w:shd w:val="clear" w:color="auto" w:fill="1F3864"/>
          </w:tcPr>
          <w:p>
            <w:r/>
            <w:r>
              <w:rPr>
                <w:rFonts w:ascii="Calibri" w:hAnsi="Calibri" w:cs="Calibri" w:eastAsia="Calibri"/>
                <w:b/>
                <w:i w:val="0"/>
                <w:color w:val="FFFFFF"/>
                <w:sz w:val="18"/>
                <w:szCs w:val="18"/>
                <w:bCs/>
              </w:rPr>
              <w:t>Exercise</w:t>
            </w:r>
          </w:p>
        </w:tc>
        <w:tc>
          <w:tcPr>
            <w:tcW w:type="dxa" w:w="1701"/>
            <w:shd w:val="clear" w:color="auto" w:fill="1F3864"/>
          </w:tcPr>
          <w:p>
            <w:r/>
            <w:r>
              <w:rPr>
                <w:rFonts w:ascii="Calibri" w:hAnsi="Calibri" w:cs="Calibri" w:eastAsia="Calibri"/>
                <w:b/>
                <w:i w:val="0"/>
                <w:color w:val="FFFFFF"/>
                <w:sz w:val="18"/>
                <w:szCs w:val="18"/>
                <w:bCs/>
              </w:rPr>
              <w:t>Type</w:t>
            </w:r>
          </w:p>
        </w:tc>
        <w:tc>
          <w:tcPr>
            <w:tcW w:type="dxa" w:w="2268"/>
            <w:shd w:val="clear" w:color="auto" w:fill="1F3864"/>
          </w:tcPr>
          <w:p>
            <w:r/>
            <w:r>
              <w:rPr>
                <w:rFonts w:ascii="Calibri" w:hAnsi="Calibri" w:cs="Calibri" w:eastAsia="Calibri"/>
                <w:b/>
                <w:i w:val="0"/>
                <w:color w:val="FFFFFF"/>
                <w:sz w:val="18"/>
                <w:szCs w:val="18"/>
                <w:bCs/>
              </w:rPr>
              <w:t>Scenario</w:t>
            </w:r>
          </w:p>
        </w:tc>
        <w:tc>
          <w:tcPr>
            <w:tcW w:type="dxa" w:w="1984"/>
            <w:shd w:val="clear" w:color="auto" w:fill="1F3864"/>
          </w:tcPr>
          <w:p>
            <w:r/>
            <w:r>
              <w:rPr>
                <w:rFonts w:ascii="Calibri" w:hAnsi="Calibri" w:cs="Calibri" w:eastAsia="Calibri"/>
                <w:b/>
                <w:i w:val="0"/>
                <w:color w:val="FFFFFF"/>
                <w:sz w:val="18"/>
                <w:szCs w:val="18"/>
                <w:bCs/>
              </w:rPr>
              <w:t>Participants</w:t>
            </w:r>
          </w:p>
        </w:tc>
        <w:tc>
          <w:tcPr>
            <w:tcW w:type="dxa" w:w="1417"/>
            <w:shd w:val="clear" w:color="auto" w:fill="1F3864"/>
          </w:tcPr>
          <w:p>
            <w:r/>
            <w:r>
              <w:rPr>
                <w:rFonts w:ascii="Calibri" w:hAnsi="Calibri" w:cs="Calibri" w:eastAsia="Calibri"/>
                <w:b/>
                <w:i w:val="0"/>
                <w:color w:val="FFFFFF"/>
                <w:sz w:val="18"/>
                <w:szCs w:val="18"/>
                <w:bCs/>
              </w:rPr>
              <w:t>Date</w:t>
            </w:r>
          </w:p>
        </w:tc>
      </w:tr>
      <w:tr>
        <w:tc>
          <w:tcPr>
            <w:tcW w:type="dxa" w:w="1984"/>
          </w:tcPr>
          <w:p>
            <w:r/>
            <w:r>
              <w:rPr>
                <w:rFonts w:ascii="Calibri" w:hAnsi="Calibri" w:cs="Calibri" w:eastAsia="Calibri"/>
                <w:b w:val="0"/>
                <w:i w:val="0"/>
                <w:sz w:val="18"/>
                <w:szCs w:val="18"/>
              </w:rPr>
              <w:t>EX-2026-01 Executive tabletop</w:t>
            </w:r>
          </w:p>
        </w:tc>
        <w:tc>
          <w:tcPr>
            <w:tcW w:type="dxa" w:w="1701"/>
          </w:tcPr>
          <w:p>
            <w:r/>
            <w:r>
              <w:rPr>
                <w:rFonts w:ascii="Calibri" w:hAnsi="Calibri" w:cs="Calibri" w:eastAsia="Calibri"/>
                <w:b w:val="0"/>
                <w:i w:val="0"/>
                <w:sz w:val="18"/>
                <w:szCs w:val="18"/>
              </w:rPr>
              <w:t>Discussion</w:t>
            </w:r>
          </w:p>
        </w:tc>
        <w:tc>
          <w:tcPr>
            <w:tcW w:type="dxa" w:w="2268"/>
          </w:tcPr>
          <w:p>
            <w:r/>
            <w:r>
              <w:rPr>
                <w:rFonts w:ascii="Calibri" w:hAnsi="Calibri" w:cs="Calibri" w:eastAsia="Calibri"/>
                <w:b w:val="0"/>
                <w:i w:val="0"/>
                <w:sz w:val="18"/>
                <w:szCs w:val="18"/>
              </w:rPr>
              <w:t>Ransomware encrypts HIS during night shift</w:t>
            </w:r>
          </w:p>
        </w:tc>
        <w:tc>
          <w:tcPr>
            <w:tcW w:type="dxa" w:w="1984"/>
          </w:tcPr>
          <w:p>
            <w:r/>
            <w:r>
              <w:rPr>
                <w:rFonts w:ascii="Calibri" w:hAnsi="Calibri" w:cs="Calibri" w:eastAsia="Calibri"/>
                <w:b w:val="0"/>
                <w:i w:val="0"/>
                <w:sz w:val="18"/>
                <w:szCs w:val="18"/>
              </w:rPr>
              <w:t>ISSC, Corporate Communications, Legal, ward heads</w:t>
            </w:r>
          </w:p>
        </w:tc>
        <w:tc>
          <w:tcPr>
            <w:tcW w:type="dxa" w:w="1417"/>
          </w:tcPr>
          <w:p>
            <w:r/>
            <w:r>
              <w:rPr>
                <w:rFonts w:ascii="Calibri" w:hAnsi="Calibri" w:cs="Calibri" w:eastAsia="Calibri"/>
                <w:b w:val="0"/>
                <w:i w:val="0"/>
                <w:sz w:val="18"/>
                <w:szCs w:val="18"/>
              </w:rPr>
              <w:t>February 2026 (done)</w:t>
            </w:r>
          </w:p>
        </w:tc>
      </w:tr>
      <w:tr>
        <w:tc>
          <w:tcPr>
            <w:tcW w:type="dxa" w:w="1984"/>
          </w:tcPr>
          <w:p>
            <w:r/>
            <w:r>
              <w:rPr>
                <w:rFonts w:ascii="Calibri" w:hAnsi="Calibri" w:cs="Calibri" w:eastAsia="Calibri"/>
                <w:b w:val="0"/>
                <w:i w:val="0"/>
                <w:sz w:val="18"/>
                <w:szCs w:val="18"/>
              </w:rPr>
              <w:t>EX-2026-02 Technical drill</w:t>
            </w:r>
          </w:p>
        </w:tc>
        <w:tc>
          <w:tcPr>
            <w:tcW w:type="dxa" w:w="1701"/>
          </w:tcPr>
          <w:p>
            <w:r/>
            <w:r>
              <w:rPr>
                <w:rFonts w:ascii="Calibri" w:hAnsi="Calibri" w:cs="Calibri" w:eastAsia="Calibri"/>
                <w:b w:val="0"/>
                <w:i w:val="0"/>
                <w:sz w:val="18"/>
                <w:szCs w:val="18"/>
              </w:rPr>
              <w:t>Functional</w:t>
            </w:r>
          </w:p>
        </w:tc>
        <w:tc>
          <w:tcPr>
            <w:tcW w:type="dxa" w:w="2268"/>
          </w:tcPr>
          <w:p>
            <w:r/>
            <w:r>
              <w:rPr>
                <w:rFonts w:ascii="Calibri" w:hAnsi="Calibri" w:cs="Calibri" w:eastAsia="Calibri"/>
                <w:b w:val="0"/>
                <w:i w:val="0"/>
                <w:sz w:val="18"/>
                <w:szCs w:val="18"/>
              </w:rPr>
              <w:t>Compromised domain administrator</w:t>
            </w:r>
          </w:p>
        </w:tc>
        <w:tc>
          <w:tcPr>
            <w:tcW w:type="dxa" w:w="1984"/>
          </w:tcPr>
          <w:p>
            <w:r/>
            <w:r>
              <w:rPr>
                <w:rFonts w:ascii="Calibri" w:hAnsi="Calibri" w:cs="Calibri" w:eastAsia="Calibri"/>
                <w:b w:val="0"/>
                <w:i w:val="0"/>
                <w:sz w:val="18"/>
                <w:szCs w:val="18"/>
              </w:rPr>
              <w:t>IT, MSSP</w:t>
            </w:r>
          </w:p>
        </w:tc>
        <w:tc>
          <w:tcPr>
            <w:tcW w:type="dxa" w:w="1417"/>
          </w:tcPr>
          <w:p>
            <w:r/>
            <w:r>
              <w:rPr>
                <w:rFonts w:ascii="Calibri" w:hAnsi="Calibri" w:cs="Calibri" w:eastAsia="Calibri"/>
                <w:b w:val="0"/>
                <w:i w:val="0"/>
                <w:sz w:val="18"/>
                <w:szCs w:val="18"/>
              </w:rPr>
              <w:t>May 2026 (done)</w:t>
            </w:r>
          </w:p>
        </w:tc>
      </w:tr>
      <w:tr>
        <w:tc>
          <w:tcPr>
            <w:tcW w:type="dxa" w:w="1984"/>
          </w:tcPr>
          <w:p>
            <w:r/>
            <w:r>
              <w:rPr>
                <w:rFonts w:ascii="Calibri" w:hAnsi="Calibri" w:cs="Calibri" w:eastAsia="Calibri"/>
                <w:b w:val="0"/>
                <w:i w:val="0"/>
                <w:sz w:val="18"/>
                <w:szCs w:val="18"/>
              </w:rPr>
              <w:t>DR-2026-01 DR test</w:t>
            </w:r>
          </w:p>
        </w:tc>
        <w:tc>
          <w:tcPr>
            <w:tcW w:type="dxa" w:w="1701"/>
          </w:tcPr>
          <w:p>
            <w:r/>
            <w:r>
              <w:rPr>
                <w:rFonts w:ascii="Calibri" w:hAnsi="Calibri" w:cs="Calibri" w:eastAsia="Calibri"/>
                <w:b w:val="0"/>
                <w:i w:val="0"/>
                <w:sz w:val="18"/>
                <w:szCs w:val="18"/>
              </w:rPr>
              <w:t>Partial failover</w:t>
            </w:r>
          </w:p>
        </w:tc>
        <w:tc>
          <w:tcPr>
            <w:tcW w:type="dxa" w:w="2268"/>
          </w:tcPr>
          <w:p>
            <w:r/>
            <w:r>
              <w:rPr>
                <w:rFonts w:ascii="Calibri" w:hAnsi="Calibri" w:cs="Calibri" w:eastAsia="Calibri"/>
                <w:b w:val="0"/>
                <w:i w:val="0"/>
                <w:sz w:val="18"/>
                <w:szCs w:val="18"/>
              </w:rPr>
              <w:t>HIS and PACS fail over to Nonthaburi DR site</w:t>
            </w:r>
          </w:p>
        </w:tc>
        <w:tc>
          <w:tcPr>
            <w:tcW w:type="dxa" w:w="1984"/>
          </w:tcPr>
          <w:p>
            <w:r/>
            <w:r>
              <w:rPr>
                <w:rFonts w:ascii="Calibri" w:hAnsi="Calibri" w:cs="Calibri" w:eastAsia="Calibri"/>
                <w:b w:val="0"/>
                <w:i w:val="0"/>
                <w:sz w:val="18"/>
                <w:szCs w:val="18"/>
              </w:rPr>
              <w:t>IT, HIS Vendor A, Vendor B</w:t>
            </w:r>
          </w:p>
        </w:tc>
        <w:tc>
          <w:tcPr>
            <w:tcW w:type="dxa" w:w="1417"/>
          </w:tcPr>
          <w:p>
            <w:r/>
            <w:r>
              <w:rPr>
                <w:rFonts w:ascii="Calibri" w:hAnsi="Calibri" w:cs="Calibri" w:eastAsia="Calibri"/>
                <w:b w:val="0"/>
                <w:i w:val="0"/>
                <w:sz w:val="18"/>
                <w:szCs w:val="18"/>
              </w:rPr>
              <w:t>May 2026 (done)</w:t>
            </w:r>
          </w:p>
        </w:tc>
      </w:tr>
      <w:tr>
        <w:tc>
          <w:tcPr>
            <w:tcW w:type="dxa" w:w="1984"/>
          </w:tcPr>
          <w:p>
            <w:r/>
            <w:r>
              <w:rPr>
                <w:rFonts w:ascii="Calibri" w:hAnsi="Calibri" w:cs="Calibri" w:eastAsia="Calibri"/>
                <w:b w:val="0"/>
                <w:i w:val="0"/>
                <w:sz w:val="18"/>
                <w:szCs w:val="18"/>
              </w:rPr>
              <w:t>Phishing simulations</w:t>
            </w:r>
          </w:p>
        </w:tc>
        <w:tc>
          <w:tcPr>
            <w:tcW w:type="dxa" w:w="1701"/>
          </w:tcPr>
          <w:p>
            <w:r/>
            <w:r>
              <w:rPr>
                <w:rFonts w:ascii="Calibri" w:hAnsi="Calibri" w:cs="Calibri" w:eastAsia="Calibri"/>
                <w:b w:val="0"/>
                <w:i w:val="0"/>
                <w:sz w:val="18"/>
                <w:szCs w:val="18"/>
              </w:rPr>
              <w:t>Technical</w:t>
            </w:r>
          </w:p>
        </w:tc>
        <w:tc>
          <w:tcPr>
            <w:tcW w:type="dxa" w:w="2268"/>
          </w:tcPr>
          <w:p>
            <w:r/>
            <w:r>
              <w:rPr>
                <w:rFonts w:ascii="Calibri" w:hAnsi="Calibri" w:cs="Calibri" w:eastAsia="Calibri"/>
                <w:b w:val="0"/>
                <w:i w:val="0"/>
                <w:sz w:val="18"/>
                <w:szCs w:val="18"/>
              </w:rPr>
              <w:t>Credential harvesting and invoice fraud</w:t>
            </w:r>
          </w:p>
        </w:tc>
        <w:tc>
          <w:tcPr>
            <w:tcW w:type="dxa" w:w="1984"/>
          </w:tcPr>
          <w:p>
            <w:r/>
            <w:r>
              <w:rPr>
                <w:rFonts w:ascii="Calibri" w:hAnsi="Calibri" w:cs="Calibri" w:eastAsia="Calibri"/>
                <w:b w:val="0"/>
                <w:i w:val="0"/>
                <w:sz w:val="18"/>
                <w:szCs w:val="18"/>
              </w:rPr>
              <w:t>All staff</w:t>
            </w:r>
          </w:p>
        </w:tc>
        <w:tc>
          <w:tcPr>
            <w:tcW w:type="dxa" w:w="1417"/>
          </w:tcPr>
          <w:p>
            <w:r/>
            <w:r>
              <w:rPr>
                <w:rFonts w:ascii="Calibri" w:hAnsi="Calibri" w:cs="Calibri" w:eastAsia="Calibri"/>
                <w:b w:val="0"/>
                <w:i w:val="0"/>
                <w:sz w:val="18"/>
                <w:szCs w:val="18"/>
              </w:rPr>
              <w:t>Quarterly</w:t>
            </w:r>
          </w:p>
        </w:tc>
      </w:tr>
      <w:tr>
        <w:tc>
          <w:tcPr>
            <w:tcW w:type="dxa" w:w="1984"/>
          </w:tcPr>
          <w:p>
            <w:r/>
            <w:r>
              <w:rPr>
                <w:rFonts w:ascii="Calibri" w:hAnsi="Calibri" w:cs="Calibri" w:eastAsia="Calibri"/>
                <w:b w:val="0"/>
                <w:i w:val="0"/>
                <w:sz w:val="18"/>
                <w:szCs w:val="18"/>
              </w:rPr>
              <w:t>NCSA national cyber exercise</w:t>
            </w:r>
          </w:p>
        </w:tc>
        <w:tc>
          <w:tcPr>
            <w:tcW w:type="dxa" w:w="1701"/>
          </w:tcPr>
          <w:p>
            <w:r/>
            <w:r>
              <w:rPr>
                <w:rFonts w:ascii="Calibri" w:hAnsi="Calibri" w:cs="Calibri" w:eastAsia="Calibri"/>
                <w:b w:val="0"/>
                <w:i w:val="0"/>
                <w:sz w:val="18"/>
                <w:szCs w:val="18"/>
              </w:rPr>
              <w:t>As defined by NCSA</w:t>
            </w:r>
          </w:p>
        </w:tc>
        <w:tc>
          <w:tcPr>
            <w:tcW w:type="dxa" w:w="2268"/>
          </w:tcPr>
          <w:p>
            <w:r/>
            <w:r>
              <w:rPr>
                <w:rFonts w:ascii="Calibri" w:hAnsi="Calibri" w:cs="Calibri" w:eastAsia="Calibri"/>
                <w:b w:val="0"/>
                <w:i w:val="0"/>
                <w:sz w:val="18"/>
                <w:szCs w:val="18"/>
              </w:rPr>
              <w:t>Sector scenario</w:t>
            </w:r>
          </w:p>
        </w:tc>
        <w:tc>
          <w:tcPr>
            <w:tcW w:type="dxa" w:w="1984"/>
          </w:tcPr>
          <w:p>
            <w:r/>
            <w:r>
              <w:rPr>
                <w:rFonts w:ascii="Calibri" w:hAnsi="Calibri" w:cs="Calibri" w:eastAsia="Calibri"/>
                <w:b w:val="0"/>
                <w:i w:val="0"/>
                <w:sz w:val="18"/>
                <w:szCs w:val="18"/>
              </w:rPr>
              <w:t>Security Manager, CIO</w:t>
            </w:r>
          </w:p>
        </w:tc>
        <w:tc>
          <w:tcPr>
            <w:tcW w:type="dxa" w:w="1417"/>
          </w:tcPr>
          <w:p>
            <w:r/>
            <w:r>
              <w:rPr>
                <w:rFonts w:ascii="Calibri" w:hAnsi="Calibri" w:cs="Calibri" w:eastAsia="Calibri"/>
                <w:b w:val="0"/>
                <w:i w:val="0"/>
                <w:sz w:val="18"/>
                <w:szCs w:val="18"/>
              </w:rPr>
              <w:t>September 2026 (done)</w:t>
            </w:r>
          </w:p>
        </w:tc>
      </w:tr>
    </w:tbl>
    <w:p>
      <w:pPr>
        <w:spacing w:after="40"/>
      </w:pPr>
    </w:p>
    <w:p>
      <w:pPr>
        <w:pStyle w:val="Heading2"/>
        <w:keepNext/>
        <w:spacing w:before="120" w:after="80"/>
      </w:pPr>
      <w:r>
        <w:rPr>
          <w:rFonts w:ascii="Calibri" w:hAnsi="Calibri" w:cs="Calibri" w:eastAsia="Calibri"/>
          <w:b/>
          <w:i w:val="0"/>
          <w:color w:val="1F3864"/>
          <w:sz w:val="24"/>
          <w:szCs w:val="24"/>
          <w:bCs/>
        </w:rPr>
        <w:t>4.4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RC-REC-001: BCP and DR Exercise Report</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Increase exercise realism each year: start with discussion, move to functional and full-scale tests.</w:t>
      </w:r>
    </w:p>
    <w:p>
      <w:pPr>
        <w:pStyle w:val="ListBullet"/>
        <w:spacing w:after="40"/>
      </w:pPr>
      <w:r>
        <w:rPr>
          <w:rFonts w:ascii="Calibri" w:hAnsi="Calibri" w:cs="Calibri" w:eastAsia="Calibri"/>
          <w:b w:val="0"/>
          <w:i w:val="0"/>
          <w:sz w:val="21"/>
          <w:szCs w:val="21"/>
        </w:rPr>
        <w:t>Include key suppliers and clinical or business leaders, not only IT.</w:t>
      </w:r>
    </w:p>
    <w:p>
      <w:pPr>
        <w:pStyle w:val="ListBullet"/>
        <w:spacing w:after="40"/>
      </w:pPr>
      <w:r>
        <w:rPr>
          <w:rFonts w:ascii="Calibri" w:hAnsi="Calibri" w:cs="Calibri" w:eastAsia="Calibri"/>
          <w:b w:val="0"/>
          <w:i w:val="0"/>
          <w:sz w:val="21"/>
          <w:szCs w:val="21"/>
        </w:rPr>
        <w:t>Record lessons learned (ID-TPL-001) and track actions in ID-REG-007.</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Running the same scripted scenario every year, so the exercise tests memory, not capability.</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ID.IM-02: Improvements are identified from security tests and exercises</w:t>
            </w:r>
          </w:p>
          <w:p>
            <w:r>
              <w:rPr>
                <w:rFonts w:ascii="Calibri" w:hAnsi="Calibri" w:cs="Calibri" w:eastAsia="Calibri"/>
                <w:b w:val="0"/>
                <w:i w:val="0"/>
                <w:sz w:val="18"/>
                <w:szCs w:val="18"/>
              </w:rPr>
              <w:t>ID.IM-04: Incident response plans and other cybersecurity plans that affect operations are established, communicated, maintained, and improved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A.5.24, Annex A.5.30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CP-4, IR-3</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CSA s.56 (readiness tests); CRC Notification on CII duties 2024 (annual BCP exercise) [VERIFY]</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ID-PRC-006: Continual Improvement and Corrective Action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RC-REC-001: BCP and DR Exercise Report</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ID-PLN-002  |  Cybersecurity Exercise and Testing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