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Continual Improvement and Corrective Action Procedure</w:t>
      </w:r>
    </w:p>
    <w:p>
      <w:pPr>
        <w:spacing w:after="80" w:before="0"/>
      </w:pPr>
      <w:r>
        <w:rPr>
          <w:rFonts w:ascii="Calibri" w:hAnsi="Calibri" w:cs="Calibri" w:eastAsia="Calibri"/>
          <w:b w:val="0"/>
          <w:i w:val="0"/>
          <w:color w:val="595959"/>
          <w:sz w:val="18"/>
          <w:szCs w:val="18"/>
        </w:rPr>
        <w:t>ID-PRC-006  |  Procedure  |  Improvement (ID.IM)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ID-PRC-006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Continual Improvement and Corrective Action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25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25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Improvement (ID.IM)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10.1 and 10.2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4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25 May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nonconformities and improvement opportunities from audits, tests, exercises, incidents, and operations are recorded, analyzed for root cause, corrected, and verified (ID.IM-01 to ID.IM-04; ISO/IEC 27001:2022 Clause 10).</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Improvement Sources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inputs that generate improvement actions.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237"/>
        <w:gridCol w:w="3118"/>
      </w:tblGrid>
      <w:tr>
        <w:trPr>
          <w:tblHeader w:val="true"/>
        </w:trPr>
        <w:tc>
          <w:tcPr>
            <w:tcW w:type="dxa" w:w="6236"/>
            <w:shd w:val="clear" w:color="auto" w:fill="1F3864"/>
          </w:tcPr>
          <w:p>
            <w:r/>
            <w:r>
              <w:rPr>
                <w:rFonts w:ascii="Calibri" w:hAnsi="Calibri" w:cs="Calibri" w:eastAsia="Calibri"/>
                <w:b/>
                <w:i w:val="0"/>
                <w:color w:val="FFFFFF"/>
                <w:sz w:val="18"/>
                <w:szCs w:val="18"/>
                <w:bCs/>
              </w:rPr>
              <w:t>Source</w:t>
            </w:r>
          </w:p>
        </w:tc>
        <w:tc>
          <w:tcPr>
            <w:tcW w:type="dxa" w:w="3118"/>
            <w:shd w:val="clear" w:color="auto" w:fill="1F3864"/>
          </w:tcPr>
          <w:p>
            <w:r/>
            <w:r>
              <w:rPr>
                <w:rFonts w:ascii="Calibri" w:hAnsi="Calibri" w:cs="Calibri" w:eastAsia="Calibri"/>
                <w:b/>
                <w:i w:val="0"/>
                <w:color w:val="FFFFFF"/>
                <w:sz w:val="18"/>
                <w:szCs w:val="18"/>
                <w:bCs/>
              </w:rPr>
              <w:t>CSF subcategory</w:t>
            </w:r>
          </w:p>
        </w:tc>
      </w:tr>
      <w:tr>
        <w:tc>
          <w:tcPr>
            <w:tcW w:type="dxa" w:w="6236"/>
          </w:tcPr>
          <w:p>
            <w:r/>
            <w:r>
              <w:rPr>
                <w:rFonts w:ascii="Calibri" w:hAnsi="Calibri" w:cs="Calibri" w:eastAsia="Calibri"/>
                <w:b w:val="0"/>
                <w:i w:val="0"/>
                <w:sz w:val="18"/>
                <w:szCs w:val="18"/>
              </w:rPr>
              <w:t>Audits, assessments, management review</w:t>
            </w:r>
          </w:p>
        </w:tc>
        <w:tc>
          <w:tcPr>
            <w:tcW w:type="dxa" w:w="3118"/>
          </w:tcPr>
          <w:p>
            <w:r/>
            <w:r>
              <w:rPr>
                <w:rFonts w:ascii="Calibri" w:hAnsi="Calibri" w:cs="Calibri" w:eastAsia="Calibri"/>
                <w:b w:val="0"/>
                <w:i w:val="0"/>
                <w:sz w:val="18"/>
                <w:szCs w:val="18"/>
              </w:rPr>
              <w:t>ID.IM-01</w:t>
            </w:r>
          </w:p>
        </w:tc>
      </w:tr>
      <w:tr>
        <w:tc>
          <w:tcPr>
            <w:tcW w:type="dxa" w:w="6236"/>
          </w:tcPr>
          <w:p>
            <w:r/>
            <w:r>
              <w:rPr>
                <w:rFonts w:ascii="Calibri" w:hAnsi="Calibri" w:cs="Calibri" w:eastAsia="Calibri"/>
                <w:b w:val="0"/>
                <w:i w:val="0"/>
                <w:sz w:val="18"/>
                <w:szCs w:val="18"/>
              </w:rPr>
              <w:t>Penetration tests, exercises, DR tests</w:t>
            </w:r>
          </w:p>
        </w:tc>
        <w:tc>
          <w:tcPr>
            <w:tcW w:type="dxa" w:w="3118"/>
          </w:tcPr>
          <w:p>
            <w:r/>
            <w:r>
              <w:rPr>
                <w:rFonts w:ascii="Calibri" w:hAnsi="Calibri" w:cs="Calibri" w:eastAsia="Calibri"/>
                <w:b w:val="0"/>
                <w:i w:val="0"/>
                <w:sz w:val="18"/>
                <w:szCs w:val="18"/>
              </w:rPr>
              <w:t>ID.IM-02</w:t>
            </w:r>
          </w:p>
        </w:tc>
      </w:tr>
      <w:tr>
        <w:tc>
          <w:tcPr>
            <w:tcW w:type="dxa" w:w="6236"/>
          </w:tcPr>
          <w:p>
            <w:r/>
            <w:r>
              <w:rPr>
                <w:rFonts w:ascii="Calibri" w:hAnsi="Calibri" w:cs="Calibri" w:eastAsia="Calibri"/>
                <w:b w:val="0"/>
                <w:i w:val="0"/>
                <w:sz w:val="18"/>
                <w:szCs w:val="18"/>
              </w:rPr>
              <w:t>Incidents, near misses, operational metrics</w:t>
            </w:r>
          </w:p>
        </w:tc>
        <w:tc>
          <w:tcPr>
            <w:tcW w:type="dxa" w:w="3118"/>
          </w:tcPr>
          <w:p>
            <w:r/>
            <w:r>
              <w:rPr>
                <w:rFonts w:ascii="Calibri" w:hAnsi="Calibri" w:cs="Calibri" w:eastAsia="Calibri"/>
                <w:b w:val="0"/>
                <w:i w:val="0"/>
                <w:sz w:val="18"/>
                <w:szCs w:val="18"/>
              </w:rPr>
              <w:t>ID.IM-03</w:t>
            </w:r>
          </w:p>
        </w:tc>
      </w:tr>
      <w:tr>
        <w:tc>
          <w:tcPr>
            <w:tcW w:type="dxa" w:w="6236"/>
          </w:tcPr>
          <w:p>
            <w:r/>
            <w:r>
              <w:rPr>
                <w:rFonts w:ascii="Calibri" w:hAnsi="Calibri" w:cs="Calibri" w:eastAsia="Calibri"/>
                <w:b w:val="0"/>
                <w:i w:val="0"/>
                <w:sz w:val="18"/>
                <w:szCs w:val="18"/>
              </w:rPr>
              <w:t>Lessons learned that change response and recovery plans</w:t>
            </w:r>
          </w:p>
        </w:tc>
        <w:tc>
          <w:tcPr>
            <w:tcW w:type="dxa" w:w="3118"/>
          </w:tcPr>
          <w:p>
            <w:r/>
            <w:r>
              <w:rPr>
                <w:rFonts w:ascii="Calibri" w:hAnsi="Calibri" w:cs="Calibri" w:eastAsia="Calibri"/>
                <w:b w:val="0"/>
                <w:i w:val="0"/>
                <w:sz w:val="18"/>
                <w:szCs w:val="18"/>
              </w:rPr>
              <w:t>ID.IM-04</w:t>
            </w:r>
          </w:p>
        </w:tc>
      </w:tr>
    </w:tbl>
    <w:p>
      <w:pPr>
        <w:spacing w:after="40"/>
      </w:pP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from recording to verification (Clause 10.2).</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Record the nonconformity or opportunity in ID-REG-007.</w:t>
      </w:r>
    </w:p>
    <w:p>
      <w:pPr>
        <w:pStyle w:val="ListNumber"/>
        <w:spacing w:after="40"/>
      </w:pPr>
      <w:r>
        <w:rPr>
          <w:rFonts w:ascii="Calibri" w:hAnsi="Calibri" w:cs="Calibri" w:eastAsia="Calibri"/>
          <w:b w:val="0"/>
          <w:i w:val="0"/>
          <w:sz w:val="21"/>
          <w:szCs w:val="21"/>
        </w:rPr>
        <w:t>Take immediate correction where needed to control the effect.</w:t>
      </w:r>
    </w:p>
    <w:p>
      <w:pPr>
        <w:pStyle w:val="ListNumber"/>
        <w:spacing w:after="40"/>
      </w:pPr>
      <w:r>
        <w:rPr>
          <w:rFonts w:ascii="Calibri" w:hAnsi="Calibri" w:cs="Calibri" w:eastAsia="Calibri"/>
          <w:b w:val="0"/>
          <w:i w:val="0"/>
          <w:sz w:val="21"/>
          <w:szCs w:val="21"/>
        </w:rPr>
        <w:t>Analyze root cause (for example, five whys) and check whether similar issues exist elsewhere.</w:t>
      </w:r>
    </w:p>
    <w:p>
      <w:pPr>
        <w:pStyle w:val="ListNumber"/>
        <w:spacing w:after="40"/>
      </w:pPr>
      <w:r>
        <w:rPr>
          <w:rFonts w:ascii="Calibri" w:hAnsi="Calibri" w:cs="Calibri" w:eastAsia="Calibri"/>
          <w:b w:val="0"/>
          <w:i w:val="0"/>
          <w:sz w:val="21"/>
          <w:szCs w:val="21"/>
        </w:rPr>
        <w:t>Agree corrective action, owner, and due date.</w:t>
      </w:r>
    </w:p>
    <w:p>
      <w:pPr>
        <w:pStyle w:val="ListNumber"/>
        <w:spacing w:after="40"/>
      </w:pPr>
      <w:r>
        <w:rPr>
          <w:rFonts w:ascii="Calibri" w:hAnsi="Calibri" w:cs="Calibri" w:eastAsia="Calibri"/>
          <w:b w:val="0"/>
          <w:i w:val="0"/>
          <w:sz w:val="21"/>
          <w:szCs w:val="21"/>
        </w:rPr>
        <w:t>Implement and update affected documents and plans.</w:t>
      </w:r>
    </w:p>
    <w:p>
      <w:pPr>
        <w:pStyle w:val="ListNumber"/>
        <w:spacing w:after="40"/>
      </w:pPr>
      <w:r>
        <w:rPr>
          <w:rFonts w:ascii="Calibri" w:hAnsi="Calibri" w:cs="Calibri" w:eastAsia="Calibri"/>
          <w:b w:val="0"/>
          <w:i w:val="0"/>
          <w:sz w:val="21"/>
          <w:szCs w:val="21"/>
        </w:rPr>
        <w:t>Verify effectiveness after implementation and close the record.</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ID-REG-007: Corrective Action and Improvement Register</w:t>
      </w:r>
    </w:p>
    <w:p>
      <w:pPr>
        <w:pStyle w:val="ListBullet"/>
        <w:spacing w:after="40"/>
      </w:pPr>
      <w:r>
        <w:rPr>
          <w:rFonts w:ascii="Calibri" w:hAnsi="Calibri" w:cs="Calibri" w:eastAsia="Calibri"/>
          <w:b w:val="0"/>
          <w:i w:val="0"/>
          <w:sz w:val="21"/>
          <w:szCs w:val="21"/>
        </w:rPr>
        <w:t>ID-TPL-001: Lessons Learned Report Template</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Separate correction (fix the instance) from corrective action (remove the cause).</w:t>
      </w:r>
    </w:p>
    <w:p>
      <w:pPr>
        <w:pStyle w:val="ListBullet"/>
        <w:spacing w:after="40"/>
      </w:pPr>
      <w:r>
        <w:rPr>
          <w:rFonts w:ascii="Calibri" w:hAnsi="Calibri" w:cs="Calibri" w:eastAsia="Calibri"/>
          <w:b w:val="0"/>
          <w:i w:val="0"/>
          <w:sz w:val="21"/>
          <w:szCs w:val="21"/>
        </w:rPr>
        <w:t>Check effectiveness weeks after closure, for example by resampling.</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Closing findings when a document is written rather than when practice changes.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ID.IM-01: Improvements are identified from evaluations</w:t>
            </w:r>
          </w:p>
          <w:p>
            <w:r>
              <w:rPr>
                <w:rFonts w:ascii="Calibri" w:hAnsi="Calibri" w:cs="Calibri" w:eastAsia="Calibri"/>
                <w:b w:val="0"/>
                <w:i w:val="0"/>
                <w:sz w:val="18"/>
                <w:szCs w:val="18"/>
              </w:rPr>
              <w:t>ID.IM-02: Improvements are identified from security tests and exercises</w:t>
            </w:r>
          </w:p>
          <w:p>
            <w:r>
              <w:rPr>
                <w:rFonts w:ascii="Calibri" w:hAnsi="Calibri" w:cs="Calibri" w:eastAsia="Calibri"/>
                <w:b w:val="0"/>
                <w:i w:val="0"/>
                <w:sz w:val="18"/>
                <w:szCs w:val="18"/>
              </w:rPr>
              <w:t>ID.IM-03: Improvements are identified from execution of operational processes, procedures, and activities</w:t>
            </w:r>
          </w:p>
          <w:p>
            <w:r>
              <w:rPr>
                <w:rFonts w:ascii="Calibri" w:hAnsi="Calibri" w:cs="Calibri" w:eastAsia="Calibri"/>
                <w:b w:val="0"/>
                <w:i w:val="0"/>
                <w:sz w:val="18"/>
                <w:szCs w:val="18"/>
              </w:rPr>
              <w:t>ID.IM-04: Incident response plans and other cybersecurity plans that affect operations are established, communicated, maintained, and improved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10.1, Clause 10.2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PM-4, CA-5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10.1 and 10.2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ID-REG-007: Corrective Action and Improvement Register</w:t>
            </w:r>
          </w:p>
          <w:p>
            <w:r>
              <w:rPr>
                <w:rFonts w:ascii="Calibri" w:hAnsi="Calibri" w:cs="Calibri" w:eastAsia="Calibri"/>
                <w:b w:val="0"/>
                <w:i w:val="0"/>
                <w:sz w:val="18"/>
                <w:szCs w:val="18"/>
              </w:rPr>
              <w:t>ID-PLN-002: Cybersecurity Exercise and Testing Program</w:t>
            </w:r>
          </w:p>
          <w:p>
            <w:r>
              <w:rPr>
                <w:rFonts w:ascii="Calibri" w:hAnsi="Calibri" w:cs="Calibri" w:eastAsia="Calibri"/>
                <w:b w:val="0"/>
                <w:i w:val="0"/>
                <w:sz w:val="18"/>
                <w:szCs w:val="18"/>
              </w:rPr>
              <w:t>ID-TPL-001: Lessons Learned Report Template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ID-PRC-006  |  Continual Improvement and Corrective Action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