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Corrective Action and Improvement Register</w:t>
      </w:r>
    </w:p>
    <w:p>
      <w:pPr>
        <w:spacing w:after="80" w:before="0"/>
      </w:pPr>
      <w:r>
        <w:rPr>
          <w:rFonts w:ascii="Calibri" w:hAnsi="Calibri" w:cs="Calibri" w:eastAsia="Calibri"/>
          <w:b w:val="0"/>
          <w:i w:val="0"/>
          <w:color w:val="595959"/>
          <w:sz w:val="18"/>
          <w:szCs w:val="18"/>
        </w:rPr>
        <w:t>ID-REG-007  |  Register  |  Improvement (ID.IM)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ID-REG-007</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Corrective Action and Improvement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9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Continuous; review monthly</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9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Improvement (ID.IM)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10.2 (nature of nonconformities and results of corrective action)</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11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9 August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records nonconformities, audit findings, and improvement actions with root cause, owner, due date, and verification, as evidence required by ISO/IEC 27001:2022 Clause 10.2.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(ID-PRC-006)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Item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CAR-2026-001</w:t>
            </w:r>
          </w:p>
        </w:tc>
      </w:tr>
      <w:tr>
        <w:tc>
          <w:tcPr>
            <w:tcW w:type="dxa" w:w="2268"/>
          </w:tcPr>
          <w:p>
            <w:r/>
            <w:r>
              <w:rPr>
                <w:rFonts w:ascii="Calibri" w:hAnsi="Calibri" w:cs="Calibri" w:eastAsia="Calibri"/>
                <w:b w:val="0"/>
                <w:i w:val="0"/>
                <w:sz w:val="18"/>
                <w:szCs w:val="18"/>
              </w:rPr>
              <w:t>Source</w:t>
            </w:r>
          </w:p>
        </w:tc>
        <w:tc>
          <w:tcPr>
            <w:tcW w:type="dxa" w:w="4535"/>
          </w:tcPr>
          <w:p>
            <w:r/>
            <w:r>
              <w:rPr>
                <w:rFonts w:ascii="Calibri" w:hAnsi="Calibri" w:cs="Calibri" w:eastAsia="Calibri"/>
                <w:b w:val="0"/>
                <w:i w:val="0"/>
                <w:sz w:val="18"/>
                <w:szCs w:val="18"/>
              </w:rPr>
              <w:t>Audit, test, exercise, incident, review.</w:t>
            </w:r>
          </w:p>
        </w:tc>
        <w:tc>
          <w:tcPr>
            <w:tcW w:type="dxa" w:w="2551"/>
          </w:tcPr>
          <w:p>
            <w:r/>
          </w:p>
        </w:tc>
      </w:tr>
      <w:tr>
        <w:tc>
          <w:tcPr>
            <w:tcW w:type="dxa" w:w="2268"/>
          </w:tcPr>
          <w:p>
            <w:r/>
            <w:r>
              <w:rPr>
                <w:rFonts w:ascii="Calibri" w:hAnsi="Calibri" w:cs="Calibri" w:eastAsia="Calibri"/>
                <w:b w:val="0"/>
                <w:i w:val="0"/>
                <w:sz w:val="18"/>
                <w:szCs w:val="18"/>
              </w:rPr>
              <w:t>Description</w:t>
            </w:r>
          </w:p>
        </w:tc>
        <w:tc>
          <w:tcPr>
            <w:tcW w:type="dxa" w:w="4535"/>
          </w:tcPr>
          <w:p>
            <w:r/>
            <w:r>
              <w:rPr>
                <w:rFonts w:ascii="Calibri" w:hAnsi="Calibri" w:cs="Calibri" w:eastAsia="Calibri"/>
                <w:b w:val="0"/>
                <w:i w:val="0"/>
                <w:sz w:val="18"/>
                <w:szCs w:val="18"/>
              </w:rPr>
              <w:t>Nonconformity or opportunity.</w:t>
            </w:r>
          </w:p>
        </w:tc>
        <w:tc>
          <w:tcPr>
            <w:tcW w:type="dxa" w:w="2551"/>
          </w:tcPr>
          <w:p>
            <w:r/>
          </w:p>
        </w:tc>
      </w:tr>
      <w:tr>
        <w:tc>
          <w:tcPr>
            <w:tcW w:type="dxa" w:w="2268"/>
          </w:tcPr>
          <w:p>
            <w:r/>
            <w:r>
              <w:rPr>
                <w:rFonts w:ascii="Calibri" w:hAnsi="Calibri" w:cs="Calibri" w:eastAsia="Calibri"/>
                <w:b w:val="0"/>
                <w:i w:val="0"/>
                <w:sz w:val="18"/>
                <w:szCs w:val="18"/>
              </w:rPr>
              <w:t>Root cause</w:t>
            </w:r>
          </w:p>
        </w:tc>
        <w:tc>
          <w:tcPr>
            <w:tcW w:type="dxa" w:w="4535"/>
          </w:tcPr>
          <w:p>
            <w:r/>
            <w:r>
              <w:rPr>
                <w:rFonts w:ascii="Calibri" w:hAnsi="Calibri" w:cs="Calibri" w:eastAsia="Calibri"/>
                <w:b w:val="0"/>
                <w:i w:val="0"/>
                <w:sz w:val="18"/>
                <w:szCs w:val="18"/>
              </w:rPr>
              <w:t>Result of analysis.</w:t>
            </w:r>
          </w:p>
        </w:tc>
        <w:tc>
          <w:tcPr>
            <w:tcW w:type="dxa" w:w="2551"/>
          </w:tcPr>
          <w:p>
            <w:r/>
          </w:p>
        </w:tc>
      </w:tr>
      <w:tr>
        <w:tc>
          <w:tcPr>
            <w:tcW w:type="dxa" w:w="2268"/>
          </w:tcPr>
          <w:p>
            <w:r/>
            <w:r>
              <w:rPr>
                <w:rFonts w:ascii="Calibri" w:hAnsi="Calibri" w:cs="Calibri" w:eastAsia="Calibri"/>
                <w:b w:val="0"/>
                <w:i w:val="0"/>
                <w:sz w:val="18"/>
                <w:szCs w:val="18"/>
              </w:rPr>
              <w:t>Corrective action</w:t>
            </w:r>
          </w:p>
        </w:tc>
        <w:tc>
          <w:tcPr>
            <w:tcW w:type="dxa" w:w="4535"/>
          </w:tcPr>
          <w:p>
            <w:r/>
            <w:r>
              <w:rPr>
                <w:rFonts w:ascii="Calibri" w:hAnsi="Calibri" w:cs="Calibri" w:eastAsia="Calibri"/>
                <w:b w:val="0"/>
                <w:i w:val="0"/>
                <w:sz w:val="18"/>
                <w:szCs w:val="18"/>
              </w:rPr>
              <w:t>Action agreed.</w:t>
            </w:r>
          </w:p>
        </w:tc>
        <w:tc>
          <w:tcPr>
            <w:tcW w:type="dxa" w:w="2551"/>
          </w:tcPr>
          <w:p>
            <w:r/>
          </w:p>
        </w:tc>
      </w:tr>
      <w:tr>
        <w:tc>
          <w:tcPr>
            <w:tcW w:type="dxa" w:w="2268"/>
          </w:tcPr>
          <w:p>
            <w:r/>
            <w:r>
              <w:rPr>
                <w:rFonts w:ascii="Calibri" w:hAnsi="Calibri" w:cs="Calibri" w:eastAsia="Calibri"/>
                <w:b w:val="0"/>
                <w:i w:val="0"/>
                <w:sz w:val="18"/>
                <w:szCs w:val="18"/>
              </w:rPr>
              <w:t>Owner and due date</w:t>
            </w:r>
          </w:p>
        </w:tc>
        <w:tc>
          <w:tcPr>
            <w:tcW w:type="dxa" w:w="4535"/>
          </w:tcPr>
          <w:p>
            <w:r/>
            <w:r>
              <w:rPr>
                <w:rFonts w:ascii="Calibri" w:hAnsi="Calibri" w:cs="Calibri" w:eastAsia="Calibri"/>
                <w:b w:val="0"/>
                <w:i w:val="0"/>
                <w:sz w:val="18"/>
                <w:szCs w:val="18"/>
              </w:rPr>
              <w:t>Role and date.</w:t>
            </w:r>
          </w:p>
        </w:tc>
        <w:tc>
          <w:tcPr>
            <w:tcW w:type="dxa" w:w="2551"/>
          </w:tcPr>
          <w:p>
            <w:r/>
          </w:p>
        </w:tc>
      </w:tr>
      <w:tr>
        <w:tc>
          <w:tcPr>
            <w:tcW w:type="dxa" w:w="2268"/>
          </w:tcPr>
          <w:p>
            <w:r/>
            <w:r>
              <w:rPr>
                <w:rFonts w:ascii="Calibri" w:hAnsi="Calibri" w:cs="Calibri" w:eastAsia="Calibri"/>
                <w:b w:val="0"/>
                <w:i w:val="0"/>
                <w:sz w:val="18"/>
                <w:szCs w:val="18"/>
              </w:rPr>
              <w:t>Status</w:t>
            </w:r>
          </w:p>
        </w:tc>
        <w:tc>
          <w:tcPr>
            <w:tcW w:type="dxa" w:w="4535"/>
          </w:tcPr>
          <w:p>
            <w:r/>
            <w:r>
              <w:rPr>
                <w:rFonts w:ascii="Calibri" w:hAnsi="Calibri" w:cs="Calibri" w:eastAsia="Calibri"/>
                <w:b w:val="0"/>
                <w:i w:val="0"/>
                <w:sz w:val="18"/>
                <w:szCs w:val="18"/>
              </w:rPr>
              <w:t>Open, Implemented, Verified effective, Closed.</w:t>
            </w:r>
          </w:p>
        </w:tc>
        <w:tc>
          <w:tcPr>
            <w:tcW w:type="dxa" w:w="2551"/>
          </w:tcPr>
          <w:p>
            <w:r/>
          </w:p>
        </w:tc>
      </w:tr>
      <w:tr>
        <w:tc>
          <w:tcPr>
            <w:tcW w:type="dxa" w:w="2268"/>
          </w:tcPr>
          <w:p>
            <w:r/>
            <w:r>
              <w:rPr>
                <w:rFonts w:ascii="Calibri" w:hAnsi="Calibri" w:cs="Calibri" w:eastAsia="Calibri"/>
                <w:b w:val="0"/>
                <w:i w:val="0"/>
                <w:sz w:val="18"/>
                <w:szCs w:val="18"/>
              </w:rPr>
              <w:t>Verification evidence</w:t>
            </w:r>
          </w:p>
        </w:tc>
        <w:tc>
          <w:tcPr>
            <w:tcW w:type="dxa" w:w="4535"/>
          </w:tcPr>
          <w:p>
            <w:r/>
            <w:r>
              <w:rPr>
                <w:rFonts w:ascii="Calibri" w:hAnsi="Calibri" w:cs="Calibri" w:eastAsia="Calibri"/>
                <w:b w:val="0"/>
                <w:i w:val="0"/>
                <w:sz w:val="18"/>
                <w:szCs w:val="18"/>
              </w:rPr>
              <w:t>How effectiveness was confirmed.</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892"/>
        <w:gridCol w:w="1892"/>
        <w:gridCol w:w="1892"/>
        <w:gridCol w:w="1892"/>
        <w:gridCol w:w="1892"/>
        <w:gridCol w:w="1892"/>
        <w:gridCol w:w="1892"/>
        <w:gridCol w:w="1892"/>
      </w:tblGrid>
      <w:tr>
        <w:trPr>
          <w:tblHeader w:val="true"/>
        </w:trPr>
        <w:tc>
          <w:tcPr>
            <w:tcW w:type="dxa" w:w="1892"/>
            <w:shd w:val="clear" w:color="auto" w:fill="1F3864"/>
          </w:tcPr>
          <w:p>
            <w:r/>
            <w:r>
              <w:rPr>
                <w:rFonts w:ascii="Calibri" w:hAnsi="Calibri" w:cs="Calibri" w:eastAsia="Calibri"/>
                <w:b/>
                <w:i w:val="0"/>
                <w:color w:val="FFFFFF"/>
                <w:sz w:val="16"/>
                <w:szCs w:val="16"/>
                <w:bCs/>
              </w:rPr>
              <w:t>Item ID</w:t>
            </w:r>
          </w:p>
        </w:tc>
        <w:tc>
          <w:tcPr>
            <w:tcW w:type="dxa" w:w="1892"/>
            <w:shd w:val="clear" w:color="auto" w:fill="1F3864"/>
          </w:tcPr>
          <w:p>
            <w:r/>
            <w:r>
              <w:rPr>
                <w:rFonts w:ascii="Calibri" w:hAnsi="Calibri" w:cs="Calibri" w:eastAsia="Calibri"/>
                <w:b/>
                <w:i w:val="0"/>
                <w:color w:val="FFFFFF"/>
                <w:sz w:val="16"/>
                <w:szCs w:val="16"/>
                <w:bCs/>
              </w:rPr>
              <w:t>Source</w:t>
            </w:r>
          </w:p>
        </w:tc>
        <w:tc>
          <w:tcPr>
            <w:tcW w:type="dxa" w:w="1892"/>
            <w:shd w:val="clear" w:color="auto" w:fill="1F3864"/>
          </w:tcPr>
          <w:p>
            <w:r/>
            <w:r>
              <w:rPr>
                <w:rFonts w:ascii="Calibri" w:hAnsi="Calibri" w:cs="Calibri" w:eastAsia="Calibri"/>
                <w:b/>
                <w:i w:val="0"/>
                <w:color w:val="FFFFFF"/>
                <w:sz w:val="16"/>
                <w:szCs w:val="16"/>
                <w:bCs/>
              </w:rPr>
              <w:t>Description</w:t>
            </w:r>
          </w:p>
        </w:tc>
        <w:tc>
          <w:tcPr>
            <w:tcW w:type="dxa" w:w="1892"/>
            <w:shd w:val="clear" w:color="auto" w:fill="1F3864"/>
          </w:tcPr>
          <w:p>
            <w:r/>
            <w:r>
              <w:rPr>
                <w:rFonts w:ascii="Calibri" w:hAnsi="Calibri" w:cs="Calibri" w:eastAsia="Calibri"/>
                <w:b/>
                <w:i w:val="0"/>
                <w:color w:val="FFFFFF"/>
                <w:sz w:val="16"/>
                <w:szCs w:val="16"/>
                <w:bCs/>
              </w:rPr>
              <w:t>Root cause</w:t>
            </w:r>
          </w:p>
        </w:tc>
        <w:tc>
          <w:tcPr>
            <w:tcW w:type="dxa" w:w="1892"/>
            <w:shd w:val="clear" w:color="auto" w:fill="1F3864"/>
          </w:tcPr>
          <w:p>
            <w:r/>
            <w:r>
              <w:rPr>
                <w:rFonts w:ascii="Calibri" w:hAnsi="Calibri" w:cs="Calibri" w:eastAsia="Calibri"/>
                <w:b/>
                <w:i w:val="0"/>
                <w:color w:val="FFFFFF"/>
                <w:sz w:val="16"/>
                <w:szCs w:val="16"/>
                <w:bCs/>
              </w:rPr>
              <w:t>Corrective action</w:t>
            </w:r>
          </w:p>
        </w:tc>
        <w:tc>
          <w:tcPr>
            <w:tcW w:type="dxa" w:w="1892"/>
            <w:shd w:val="clear" w:color="auto" w:fill="1F3864"/>
          </w:tcPr>
          <w:p>
            <w:r/>
            <w:r>
              <w:rPr>
                <w:rFonts w:ascii="Calibri" w:hAnsi="Calibri" w:cs="Calibri" w:eastAsia="Calibri"/>
                <w:b/>
                <w:i w:val="0"/>
                <w:color w:val="FFFFFF"/>
                <w:sz w:val="16"/>
                <w:szCs w:val="16"/>
                <w:bCs/>
              </w:rPr>
              <w:t>Owner and due date</w:t>
            </w:r>
          </w:p>
        </w:tc>
        <w:tc>
          <w:tcPr>
            <w:tcW w:type="dxa" w:w="1892"/>
            <w:shd w:val="clear" w:color="auto" w:fill="1F3864"/>
          </w:tcPr>
          <w:p>
            <w:r/>
            <w:r>
              <w:rPr>
                <w:rFonts w:ascii="Calibri" w:hAnsi="Calibri" w:cs="Calibri" w:eastAsia="Calibri"/>
                <w:b/>
                <w:i w:val="0"/>
                <w:color w:val="FFFFFF"/>
                <w:sz w:val="16"/>
                <w:szCs w:val="16"/>
                <w:bCs/>
              </w:rPr>
              <w:t>Status</w:t>
            </w:r>
          </w:p>
        </w:tc>
        <w:tc>
          <w:tcPr>
            <w:tcW w:type="dxa" w:w="1892"/>
            <w:shd w:val="clear" w:color="auto" w:fill="1F3864"/>
          </w:tcPr>
          <w:p>
            <w:r/>
            <w:r>
              <w:rPr>
                <w:rFonts w:ascii="Calibri" w:hAnsi="Calibri" w:cs="Calibri" w:eastAsia="Calibri"/>
                <w:b/>
                <w:i w:val="0"/>
                <w:color w:val="FFFFFF"/>
                <w:sz w:val="16"/>
                <w:szCs w:val="16"/>
                <w:bCs/>
              </w:rPr>
              <w:t>Verification evidence</w:t>
            </w:r>
          </w:p>
        </w:tc>
      </w:tr>
      <w:tr>
        <w:tc>
          <w:tcPr>
            <w:tcW w:type="dxa" w:w="1892"/>
          </w:tcPr>
          <w:p>
            <w:r/>
            <w:r>
              <w:rPr>
                <w:rFonts w:ascii="Calibri" w:hAnsi="Calibri" w:cs="Calibri" w:eastAsia="Calibri"/>
                <w:b w:val="0"/>
                <w:i w:val="0"/>
                <w:sz w:val="16"/>
                <w:szCs w:val="16"/>
              </w:rPr>
              <w:t>CAR-2025-021</w:t>
            </w:r>
          </w:p>
        </w:tc>
        <w:tc>
          <w:tcPr>
            <w:tcW w:type="dxa" w:w="1892"/>
          </w:tcPr>
          <w:p>
            <w:r/>
            <w:r>
              <w:rPr>
                <w:rFonts w:ascii="Calibri" w:hAnsi="Calibri" w:cs="Calibri" w:eastAsia="Calibri"/>
                <w:b w:val="0"/>
                <w:i w:val="0"/>
                <w:sz w:val="16"/>
                <w:szCs w:val="16"/>
              </w:rPr>
              <w:t>IA-2025-04-02</w:t>
            </w:r>
          </w:p>
        </w:tc>
        <w:tc>
          <w:tcPr>
            <w:tcW w:type="dxa" w:w="1892"/>
          </w:tcPr>
          <w:p>
            <w:r/>
            <w:r>
              <w:rPr>
                <w:rFonts w:ascii="Calibri" w:hAnsi="Calibri" w:cs="Calibri" w:eastAsia="Calibri"/>
                <w:b w:val="0"/>
                <w:i w:val="0"/>
                <w:sz w:val="16"/>
                <w:szCs w:val="16"/>
              </w:rPr>
              <w:t>38 HIS accounts of former staff remained active</w:t>
            </w:r>
          </w:p>
        </w:tc>
        <w:tc>
          <w:tcPr>
            <w:tcW w:type="dxa" w:w="1892"/>
          </w:tcPr>
          <w:p>
            <w:r/>
            <w:r>
              <w:rPr>
                <w:rFonts w:ascii="Calibri" w:hAnsi="Calibri" w:cs="Calibri" w:eastAsia="Calibri"/>
                <w:b w:val="0"/>
                <w:i w:val="0"/>
                <w:sz w:val="16"/>
                <w:szCs w:val="16"/>
              </w:rPr>
              <w:t>No automated leaver trigger from HR to HIS</w:t>
            </w:r>
          </w:p>
        </w:tc>
        <w:tc>
          <w:tcPr>
            <w:tcW w:type="dxa" w:w="1892"/>
          </w:tcPr>
          <w:p>
            <w:r/>
            <w:r>
              <w:rPr>
                <w:rFonts w:ascii="Calibri" w:hAnsi="Calibri" w:cs="Calibri" w:eastAsia="Calibri"/>
                <w:b w:val="0"/>
                <w:i w:val="0"/>
                <w:sz w:val="16"/>
                <w:szCs w:val="16"/>
              </w:rPr>
              <w:t>Automate HR-to-HIS deprovisioning; monthly reconciliation</w:t>
            </w:r>
          </w:p>
        </w:tc>
        <w:tc>
          <w:tcPr>
            <w:tcW w:type="dxa" w:w="1892"/>
          </w:tcPr>
          <w:p>
            <w:r/>
            <w:r>
              <w:rPr>
                <w:rFonts w:ascii="Calibri" w:hAnsi="Calibri" w:cs="Calibri" w:eastAsia="Calibri"/>
                <w:b w:val="0"/>
                <w:i w:val="0"/>
                <w:sz w:val="16"/>
                <w:szCs w:val="16"/>
              </w:rPr>
              <w:t>CIO, 30/04/2026</w:t>
            </w:r>
          </w:p>
        </w:tc>
        <w:tc>
          <w:tcPr>
            <w:tcW w:type="dxa" w:w="1892"/>
          </w:tcPr>
          <w:p>
            <w:r/>
            <w:r>
              <w:rPr>
                <w:rFonts w:ascii="Calibri" w:hAnsi="Calibri" w:cs="Calibri" w:eastAsia="Calibri"/>
                <w:b w:val="0"/>
                <w:i w:val="0"/>
                <w:sz w:val="16"/>
                <w:szCs w:val="16"/>
              </w:rPr>
              <w:t>Verified effective</w:t>
            </w:r>
          </w:p>
        </w:tc>
        <w:tc>
          <w:tcPr>
            <w:tcW w:type="dxa" w:w="1892"/>
          </w:tcPr>
          <w:p>
            <w:r/>
            <w:r>
              <w:rPr>
                <w:rFonts w:ascii="Calibri" w:hAnsi="Calibri" w:cs="Calibri" w:eastAsia="Calibri"/>
                <w:b w:val="0"/>
                <w:i w:val="0"/>
                <w:sz w:val="16"/>
                <w:szCs w:val="16"/>
              </w:rPr>
              <w:t>06/2026 sample: 0 of 1,402 accounts belonged to leavers</w:t>
            </w:r>
          </w:p>
        </w:tc>
      </w:tr>
      <w:tr>
        <w:tc>
          <w:tcPr>
            <w:tcW w:type="dxa" w:w="1892"/>
          </w:tcPr>
          <w:p>
            <w:r/>
            <w:r>
              <w:rPr>
                <w:rFonts w:ascii="Calibri" w:hAnsi="Calibri" w:cs="Calibri" w:eastAsia="Calibri"/>
                <w:b w:val="0"/>
                <w:i w:val="0"/>
                <w:sz w:val="16"/>
                <w:szCs w:val="16"/>
              </w:rPr>
              <w:t>CAR-2025-022</w:t>
            </w:r>
          </w:p>
        </w:tc>
        <w:tc>
          <w:tcPr>
            <w:tcW w:type="dxa" w:w="1892"/>
          </w:tcPr>
          <w:p>
            <w:r/>
            <w:r>
              <w:rPr>
                <w:rFonts w:ascii="Calibri" w:hAnsi="Calibri" w:cs="Calibri" w:eastAsia="Calibri"/>
                <w:b w:val="0"/>
                <w:i w:val="0"/>
                <w:sz w:val="16"/>
                <w:szCs w:val="16"/>
              </w:rPr>
              <w:t>IA-2025-04-05</w:t>
            </w:r>
          </w:p>
        </w:tc>
        <w:tc>
          <w:tcPr>
            <w:tcW w:type="dxa" w:w="1892"/>
          </w:tcPr>
          <w:p>
            <w:r/>
            <w:r>
              <w:rPr>
                <w:rFonts w:ascii="Calibri" w:hAnsi="Calibri" w:cs="Calibri" w:eastAsia="Calibri"/>
                <w:b w:val="0"/>
                <w:i w:val="0"/>
                <w:sz w:val="16"/>
                <w:szCs w:val="16"/>
              </w:rPr>
              <w:t>No HIS restore test in 12 months</w:t>
            </w:r>
          </w:p>
        </w:tc>
        <w:tc>
          <w:tcPr>
            <w:tcW w:type="dxa" w:w="1892"/>
          </w:tcPr>
          <w:p>
            <w:r/>
            <w:r>
              <w:rPr>
                <w:rFonts w:ascii="Calibri" w:hAnsi="Calibri" w:cs="Calibri" w:eastAsia="Calibri"/>
                <w:b w:val="0"/>
                <w:i w:val="0"/>
                <w:sz w:val="16"/>
                <w:szCs w:val="16"/>
              </w:rPr>
              <w:t>Restore testing not scheduled or owned</w:t>
            </w:r>
          </w:p>
        </w:tc>
        <w:tc>
          <w:tcPr>
            <w:tcW w:type="dxa" w:w="1892"/>
          </w:tcPr>
          <w:p>
            <w:r/>
            <w:r>
              <w:rPr>
                <w:rFonts w:ascii="Calibri" w:hAnsi="Calibri" w:cs="Calibri" w:eastAsia="Calibri"/>
                <w:b w:val="0"/>
                <w:i w:val="0"/>
                <w:sz w:val="16"/>
                <w:szCs w:val="16"/>
              </w:rPr>
              <w:t>Monthly restore tests with record PR-REC-003</w:t>
            </w:r>
          </w:p>
        </w:tc>
        <w:tc>
          <w:tcPr>
            <w:tcW w:type="dxa" w:w="1892"/>
          </w:tcPr>
          <w:p>
            <w:r/>
            <w:r>
              <w:rPr>
                <w:rFonts w:ascii="Calibri" w:hAnsi="Calibri" w:cs="Calibri" w:eastAsia="Calibri"/>
                <w:b w:val="0"/>
                <w:i w:val="0"/>
                <w:sz w:val="16"/>
                <w:szCs w:val="16"/>
              </w:rPr>
              <w:t>IT Infrastructure Manager, 28/02/2026</w:t>
            </w:r>
          </w:p>
        </w:tc>
        <w:tc>
          <w:tcPr>
            <w:tcW w:type="dxa" w:w="1892"/>
          </w:tcPr>
          <w:p>
            <w:r/>
            <w:r>
              <w:rPr>
                <w:rFonts w:ascii="Calibri" w:hAnsi="Calibri" w:cs="Calibri" w:eastAsia="Calibri"/>
                <w:b w:val="0"/>
                <w:i w:val="0"/>
                <w:sz w:val="16"/>
                <w:szCs w:val="16"/>
              </w:rPr>
              <w:t>Closed</w:t>
            </w:r>
          </w:p>
        </w:tc>
        <w:tc>
          <w:tcPr>
            <w:tcW w:type="dxa" w:w="1892"/>
          </w:tcPr>
          <w:p>
            <w:r/>
            <w:r>
              <w:rPr>
                <w:rFonts w:ascii="Calibri" w:hAnsi="Calibri" w:cs="Calibri" w:eastAsia="Calibri"/>
                <w:b w:val="0"/>
                <w:i w:val="0"/>
                <w:sz w:val="16"/>
                <w:szCs w:val="16"/>
              </w:rPr>
              <w:t>Seven consecutive successful monthly tests</w:t>
            </w:r>
          </w:p>
        </w:tc>
      </w:tr>
      <w:tr>
        <w:tc>
          <w:tcPr>
            <w:tcW w:type="dxa" w:w="1892"/>
          </w:tcPr>
          <w:p>
            <w:r/>
            <w:r>
              <w:rPr>
                <w:rFonts w:ascii="Calibri" w:hAnsi="Calibri" w:cs="Calibri" w:eastAsia="Calibri"/>
                <w:b w:val="0"/>
                <w:i w:val="0"/>
                <w:sz w:val="16"/>
                <w:szCs w:val="16"/>
              </w:rPr>
              <w:t>CAR-2026-004</w:t>
            </w:r>
          </w:p>
        </w:tc>
        <w:tc>
          <w:tcPr>
            <w:tcW w:type="dxa" w:w="1892"/>
          </w:tcPr>
          <w:p>
            <w:r/>
            <w:r>
              <w:rPr>
                <w:rFonts w:ascii="Calibri" w:hAnsi="Calibri" w:cs="Calibri" w:eastAsia="Calibri"/>
                <w:b w:val="0"/>
                <w:i w:val="0"/>
                <w:sz w:val="16"/>
                <w:szCs w:val="16"/>
              </w:rPr>
              <w:t>EX-2026-01 tabletop</w:t>
            </w:r>
          </w:p>
        </w:tc>
        <w:tc>
          <w:tcPr>
            <w:tcW w:type="dxa" w:w="1892"/>
          </w:tcPr>
          <w:p>
            <w:r/>
            <w:r>
              <w:rPr>
                <w:rFonts w:ascii="Calibri" w:hAnsi="Calibri" w:cs="Calibri" w:eastAsia="Calibri"/>
                <w:b w:val="0"/>
                <w:i w:val="0"/>
                <w:sz w:val="16"/>
                <w:szCs w:val="16"/>
              </w:rPr>
              <w:t>Clinical downtime forms not available on two wards</w:t>
            </w:r>
          </w:p>
        </w:tc>
        <w:tc>
          <w:tcPr>
            <w:tcW w:type="dxa" w:w="1892"/>
          </w:tcPr>
          <w:p>
            <w:r/>
            <w:r>
              <w:rPr>
                <w:rFonts w:ascii="Calibri" w:hAnsi="Calibri" w:cs="Calibri" w:eastAsia="Calibri"/>
                <w:b w:val="0"/>
                <w:i w:val="0"/>
                <w:sz w:val="16"/>
                <w:szCs w:val="16"/>
              </w:rPr>
              <w:t>Downtime kits not included in ward checklists</w:t>
            </w:r>
          </w:p>
        </w:tc>
        <w:tc>
          <w:tcPr>
            <w:tcW w:type="dxa" w:w="1892"/>
          </w:tcPr>
          <w:p>
            <w:r/>
            <w:r>
              <w:rPr>
                <w:rFonts w:ascii="Calibri" w:hAnsi="Calibri" w:cs="Calibri" w:eastAsia="Calibri"/>
                <w:b w:val="0"/>
                <w:i w:val="0"/>
                <w:sz w:val="16"/>
                <w:szCs w:val="16"/>
              </w:rPr>
              <w:t>Add downtime kits to ward monthly checklist</w:t>
            </w:r>
          </w:p>
        </w:tc>
        <w:tc>
          <w:tcPr>
            <w:tcW w:type="dxa" w:w="1892"/>
          </w:tcPr>
          <w:p>
            <w:r/>
            <w:r>
              <w:rPr>
                <w:rFonts w:ascii="Calibri" w:hAnsi="Calibri" w:cs="Calibri" w:eastAsia="Calibri"/>
                <w:b w:val="0"/>
                <w:i w:val="0"/>
                <w:sz w:val="16"/>
                <w:szCs w:val="16"/>
              </w:rPr>
              <w:t>Director of Nursing, 31/05/2026</w:t>
            </w:r>
          </w:p>
        </w:tc>
        <w:tc>
          <w:tcPr>
            <w:tcW w:type="dxa" w:w="1892"/>
          </w:tcPr>
          <w:p>
            <w:r/>
            <w:r>
              <w:rPr>
                <w:rFonts w:ascii="Calibri" w:hAnsi="Calibri" w:cs="Calibri" w:eastAsia="Calibri"/>
                <w:b w:val="0"/>
                <w:i w:val="0"/>
                <w:sz w:val="16"/>
                <w:szCs w:val="16"/>
              </w:rPr>
              <w:t>Verified effective</w:t>
            </w:r>
          </w:p>
        </w:tc>
        <w:tc>
          <w:tcPr>
            <w:tcW w:type="dxa" w:w="1892"/>
          </w:tcPr>
          <w:p>
            <w:r/>
            <w:r>
              <w:rPr>
                <w:rFonts w:ascii="Calibri" w:hAnsi="Calibri" w:cs="Calibri" w:eastAsia="Calibri"/>
                <w:b w:val="0"/>
                <w:i w:val="0"/>
                <w:sz w:val="16"/>
                <w:szCs w:val="16"/>
              </w:rPr>
              <w:t>Spot check of 10 wards in July 2026</w:t>
            </w:r>
          </w:p>
        </w:tc>
      </w:tr>
      <w:tr>
        <w:tc>
          <w:tcPr>
            <w:tcW w:type="dxa" w:w="1892"/>
          </w:tcPr>
          <w:p>
            <w:r/>
            <w:r>
              <w:rPr>
                <w:rFonts w:ascii="Calibri" w:hAnsi="Calibri" w:cs="Calibri" w:eastAsia="Calibri"/>
                <w:b w:val="0"/>
                <w:i w:val="0"/>
                <w:sz w:val="16"/>
                <w:szCs w:val="16"/>
              </w:rPr>
              <w:t>CAR-2026-011</w:t>
            </w:r>
          </w:p>
        </w:tc>
        <w:tc>
          <w:tcPr>
            <w:tcW w:type="dxa" w:w="1892"/>
          </w:tcPr>
          <w:p>
            <w:r/>
            <w:r>
              <w:rPr>
                <w:rFonts w:ascii="Calibri" w:hAnsi="Calibri" w:cs="Calibri" w:eastAsia="Calibri"/>
                <w:b w:val="0"/>
                <w:i w:val="0"/>
                <w:sz w:val="16"/>
                <w:szCs w:val="16"/>
              </w:rPr>
              <w:t>INC-2026-014</w:t>
            </w:r>
          </w:p>
        </w:tc>
        <w:tc>
          <w:tcPr>
            <w:tcW w:type="dxa" w:w="1892"/>
          </w:tcPr>
          <w:p>
            <w:r/>
            <w:r>
              <w:rPr>
                <w:rFonts w:ascii="Calibri" w:hAnsi="Calibri" w:cs="Calibri" w:eastAsia="Calibri"/>
                <w:b w:val="0"/>
                <w:i w:val="0"/>
                <w:sz w:val="16"/>
                <w:szCs w:val="16"/>
              </w:rPr>
              <w:t>BEC attempt reached finance staff; payment verification relied on email</w:t>
            </w:r>
          </w:p>
        </w:tc>
        <w:tc>
          <w:tcPr>
            <w:tcW w:type="dxa" w:w="1892"/>
          </w:tcPr>
          <w:p>
            <w:r/>
            <w:r>
              <w:rPr>
                <w:rFonts w:ascii="Calibri" w:hAnsi="Calibri" w:cs="Calibri" w:eastAsia="Calibri"/>
                <w:b w:val="0"/>
                <w:i w:val="0"/>
                <w:sz w:val="16"/>
                <w:szCs w:val="16"/>
              </w:rPr>
              <w:t>No out-of-band verification rule for bank detail changes</w:t>
            </w:r>
          </w:p>
        </w:tc>
        <w:tc>
          <w:tcPr>
            <w:tcW w:type="dxa" w:w="1892"/>
          </w:tcPr>
          <w:p>
            <w:r/>
            <w:r>
              <w:rPr>
                <w:rFonts w:ascii="Calibri" w:hAnsi="Calibri" w:cs="Calibri" w:eastAsia="Calibri"/>
                <w:b w:val="0"/>
                <w:i w:val="0"/>
                <w:sz w:val="16"/>
                <w:szCs w:val="16"/>
              </w:rPr>
              <w:t>Call-back verification for any vendor bank change</w:t>
            </w:r>
          </w:p>
        </w:tc>
        <w:tc>
          <w:tcPr>
            <w:tcW w:type="dxa" w:w="1892"/>
          </w:tcPr>
          <w:p>
            <w:r/>
            <w:r>
              <w:rPr>
                <w:rFonts w:ascii="Calibri" w:hAnsi="Calibri" w:cs="Calibri" w:eastAsia="Calibri"/>
                <w:b w:val="0"/>
                <w:i w:val="0"/>
                <w:sz w:val="16"/>
                <w:szCs w:val="16"/>
              </w:rPr>
              <w:t>CFO, 31/07/2026</w:t>
            </w:r>
          </w:p>
        </w:tc>
        <w:tc>
          <w:tcPr>
            <w:tcW w:type="dxa" w:w="1892"/>
          </w:tcPr>
          <w:p>
            <w:r/>
            <w:r>
              <w:rPr>
                <w:rFonts w:ascii="Calibri" w:hAnsi="Calibri" w:cs="Calibri" w:eastAsia="Calibri"/>
                <w:b w:val="0"/>
                <w:i w:val="0"/>
                <w:sz w:val="16"/>
                <w:szCs w:val="16"/>
              </w:rPr>
              <w:t>Implemented</w:t>
            </w:r>
          </w:p>
        </w:tc>
        <w:tc>
          <w:tcPr>
            <w:tcW w:type="dxa" w:w="1892"/>
          </w:tcPr>
          <w:p>
            <w:r/>
            <w:r>
              <w:rPr>
                <w:rFonts w:ascii="Calibri" w:hAnsi="Calibri" w:cs="Calibri" w:eastAsia="Calibri"/>
                <w:b w:val="0"/>
                <w:i w:val="0"/>
                <w:sz w:val="16"/>
                <w:szCs w:val="16"/>
              </w:rPr>
              <w:t>Effectiveness check scheduled 10/2026</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one register for all sources so management sees all improvement work together.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Records with no root cause, so the same finding repeats next year.</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ID.IM-01: Improvements are identified from evaluations</w:t>
            </w:r>
          </w:p>
          <w:p>
            <w:r>
              <w:rPr>
                <w:rFonts w:ascii="Calibri" w:hAnsi="Calibri" w:cs="Calibri" w:eastAsia="Calibri"/>
                <w:b w:val="0"/>
                <w:i w:val="0"/>
                <w:sz w:val="18"/>
                <w:szCs w:val="18"/>
              </w:rPr>
              <w:t>ID.IM-02: Improvements are identified from security tests and exercises</w:t>
            </w:r>
          </w:p>
          <w:p>
            <w:r>
              <w:rPr>
                <w:rFonts w:ascii="Calibri" w:hAnsi="Calibri" w:cs="Calibri" w:eastAsia="Calibri"/>
                <w:b w:val="0"/>
                <w:i w:val="0"/>
                <w:sz w:val="18"/>
                <w:szCs w:val="18"/>
              </w:rPr>
              <w:t>ID.IM-03: Improvements are identified from execution of operational processes, procedures, and activities</w:t>
            </w:r>
          </w:p>
          <w:p>
            <w:r>
              <w:rPr>
                <w:rFonts w:ascii="Calibri" w:hAnsi="Calibri" w:cs="Calibri" w:eastAsia="Calibri"/>
                <w:b w:val="0"/>
                <w:i w:val="0"/>
                <w:sz w:val="18"/>
                <w:szCs w:val="18"/>
              </w:rPr>
              <w:t>ID.IM-04: Incident response plans and other cybersecurity plans that affect operations are established, communicated, maintained, and improved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10.2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PM-4, CA-5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10.2 (nature of nonconformities and results of corrective action)</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ID-PRC-006: Continual Improvement and Corrective Action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ID-REG-007  |  Corrective Action and Improvement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