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Lessons Learned Report Template</w:t>
      </w:r>
    </w:p>
    <w:p>
      <w:pPr>
        <w:spacing w:after="80" w:before="0"/>
      </w:pPr>
      <w:r>
        <w:rPr>
          <w:rFonts w:ascii="Calibri" w:hAnsi="Calibri" w:cs="Calibri" w:eastAsia="Calibri"/>
          <w:b w:val="0"/>
          <w:i w:val="0"/>
          <w:color w:val="595959"/>
          <w:sz w:val="18"/>
          <w:szCs w:val="18"/>
        </w:rPr>
        <w:t>ID-TPL-001  |  Template  |  Improvement (ID.IM)</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ID-TPL-001</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Lessons Learned Report Template</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Security Manager</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Chief Information Officer (CIO)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4 July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4 July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Template</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Identify (ID)</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Improvement (ID.IM)</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Expected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ISO 27001</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ISO/IEC 27001:2022 Annex A 5.27</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Core</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Expected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25 May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4 July 2026</w:t>
            </w:r>
          </w:p>
        </w:tc>
        <w:tc>
          <w:tcPr>
            <w:tcW w:type="dxa" w:w="3742"/>
          </w:tcPr>
          <w:p>
            <w:r/>
            <w:r>
              <w:rPr>
                <w:rFonts w:ascii="Calibri" w:hAnsi="Calibri" w:cs="Calibri" w:eastAsia="Calibri"/>
                <w:b w:val="0"/>
                <w:i w:val="0"/>
                <w:sz w:val="18"/>
                <w:szCs w:val="18"/>
              </w:rPr>
              <w:t>Updated after the November 2025 internal audit (IA-2025-04) to close findings on asset and risk records.</w:t>
            </w:r>
          </w:p>
        </w:tc>
        <w:tc>
          <w:tcPr>
            <w:tcW w:type="dxa" w:w="1587"/>
          </w:tcPr>
          <w:p>
            <w:r/>
            <w:r>
              <w:rPr>
                <w:rFonts w:ascii="Calibri" w:hAnsi="Calibri" w:cs="Calibri" w:eastAsia="Calibri"/>
                <w:b w:val="0"/>
                <w:i w:val="0"/>
                <w:sz w:val="18"/>
                <w:szCs w:val="18"/>
              </w:rPr>
              <w:t>Security Manager</w:t>
            </w:r>
          </w:p>
        </w:tc>
        <w:tc>
          <w:tcPr>
            <w:tcW w:type="dxa" w:w="1531"/>
          </w:tcPr>
          <w:p>
            <w:r/>
            <w:r>
              <w:rPr>
                <w:rFonts w:ascii="Calibri" w:hAnsi="Calibri" w:cs="Calibri" w:eastAsia="Calibri"/>
                <w:b w:val="0"/>
                <w:i w:val="0"/>
                <w:sz w:val="18"/>
                <w:szCs w:val="18"/>
              </w:rPr>
              <w:t>Chief Information Officer (CIO)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records lessons learned after an incident, exercise, or test, and turns them into tracked improvements to plans and controls (ID.IM-03, ID.IM-04).</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template is used by the units and roles named in its parent document (ID-PRC-006) and covers the activities that document defines.</w:t>
      </w:r>
    </w:p>
    <w:p>
      <w:pPr>
        <w:pStyle w:val="Heading2"/>
        <w:keepNext/>
        <w:spacing w:before="120" w:after="80"/>
      </w:pPr>
      <w:r>
        <w:rPr>
          <w:rFonts w:ascii="Calibri" w:hAnsi="Calibri" w:cs="Calibri" w:eastAsia="Calibri"/>
          <w:b/>
          <w:i w:val="0"/>
          <w:color w:val="1F3864"/>
          <w:sz w:val="24"/>
          <w:szCs w:val="24"/>
          <w:bCs/>
        </w:rPr>
        <w:t>4.3 Summary</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Describe the event, timeline, and impact briefly.</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3118"/>
        <w:gridCol w:w="6237"/>
      </w:tblGrid>
      <w:tr>
        <w:trPr>
          <w:tblHeader w:val="true"/>
        </w:trPr>
        <w:tc>
          <w:tcPr>
            <w:tcW w:type="dxa" w:w="3118"/>
            <w:shd w:val="clear" w:color="auto" w:fill="1F3864"/>
          </w:tcPr>
          <w:p>
            <w:r/>
            <w:r>
              <w:rPr>
                <w:rFonts w:ascii="Calibri" w:hAnsi="Calibri" w:cs="Calibri" w:eastAsia="Calibri"/>
                <w:b/>
                <w:i w:val="0"/>
                <w:color w:val="FFFFFF"/>
                <w:sz w:val="18"/>
                <w:szCs w:val="18"/>
                <w:bCs/>
              </w:rPr>
              <w:t>Item</w:t>
            </w:r>
          </w:p>
        </w:tc>
        <w:tc>
          <w:tcPr>
            <w:tcW w:type="dxa" w:w="6236"/>
            <w:shd w:val="clear" w:color="auto" w:fill="1F3864"/>
          </w:tcPr>
          <w:p>
            <w:r/>
            <w:r>
              <w:rPr>
                <w:rFonts w:ascii="Calibri" w:hAnsi="Calibri" w:cs="Calibri" w:eastAsia="Calibri"/>
                <w:b/>
                <w:i w:val="0"/>
                <w:color w:val="FFFFFF"/>
                <w:sz w:val="18"/>
                <w:szCs w:val="18"/>
                <w:bCs/>
              </w:rPr>
              <w:t>Response</w:t>
            </w:r>
          </w:p>
        </w:tc>
      </w:tr>
      <w:tr>
        <w:tc>
          <w:tcPr>
            <w:tcW w:type="dxa" w:w="3118"/>
          </w:tcPr>
          <w:p>
            <w:r/>
            <w:r>
              <w:rPr>
                <w:rFonts w:ascii="Calibri" w:hAnsi="Calibri" w:cs="Calibri" w:eastAsia="Calibri"/>
                <w:b w:val="0"/>
                <w:i w:val="0"/>
                <w:sz w:val="18"/>
                <w:szCs w:val="18"/>
              </w:rPr>
              <w:t>Reference</w:t>
            </w:r>
          </w:p>
        </w:tc>
        <w:tc>
          <w:tcPr>
            <w:tcW w:type="dxa" w:w="6236"/>
          </w:tcPr>
          <w:p>
            <w:r/>
            <w:r>
              <w:rPr>
                <w:rFonts w:ascii="Calibri" w:hAnsi="Calibri" w:cs="Calibri" w:eastAsia="Calibri"/>
                <w:b w:val="0"/>
                <w:i w:val="0"/>
                <w:sz w:val="18"/>
                <w:szCs w:val="18"/>
              </w:rPr>
              <w:t>EX-2026-01 Executive ransomware tabletop</w:t>
            </w:r>
          </w:p>
        </w:tc>
      </w:tr>
      <w:tr>
        <w:tc>
          <w:tcPr>
            <w:tcW w:type="dxa" w:w="3118"/>
          </w:tcPr>
          <w:p>
            <w:r/>
            <w:r>
              <w:rPr>
                <w:rFonts w:ascii="Calibri" w:hAnsi="Calibri" w:cs="Calibri" w:eastAsia="Calibri"/>
                <w:b w:val="0"/>
                <w:i w:val="0"/>
                <w:sz w:val="18"/>
                <w:szCs w:val="18"/>
              </w:rPr>
              <w:t>Date and duration</w:t>
            </w:r>
          </w:p>
        </w:tc>
        <w:tc>
          <w:tcPr>
            <w:tcW w:type="dxa" w:w="6236"/>
          </w:tcPr>
          <w:p>
            <w:r/>
            <w:r>
              <w:rPr>
                <w:rFonts w:ascii="Calibri" w:hAnsi="Calibri" w:cs="Calibri" w:eastAsia="Calibri"/>
                <w:b w:val="0"/>
                <w:i w:val="0"/>
                <w:sz w:val="18"/>
                <w:szCs w:val="18"/>
              </w:rPr>
              <w:t>18 February 2026, 3 hours</w:t>
            </w:r>
          </w:p>
        </w:tc>
      </w:tr>
      <w:tr>
        <w:tc>
          <w:tcPr>
            <w:tcW w:type="dxa" w:w="3118"/>
          </w:tcPr>
          <w:p>
            <w:r/>
            <w:r>
              <w:rPr>
                <w:rFonts w:ascii="Calibri" w:hAnsi="Calibri" w:cs="Calibri" w:eastAsia="Calibri"/>
                <w:b w:val="0"/>
                <w:i w:val="0"/>
                <w:sz w:val="18"/>
                <w:szCs w:val="18"/>
              </w:rPr>
              <w:t>Summary</w:t>
            </w:r>
          </w:p>
        </w:tc>
        <w:tc>
          <w:tcPr>
            <w:tcW w:type="dxa" w:w="6236"/>
          </w:tcPr>
          <w:p>
            <w:r/>
            <w:r>
              <w:rPr>
                <w:rFonts w:ascii="Calibri" w:hAnsi="Calibri" w:cs="Calibri" w:eastAsia="Calibri"/>
                <w:b w:val="0"/>
                <w:i w:val="0"/>
                <w:sz w:val="18"/>
                <w:szCs w:val="18"/>
              </w:rPr>
              <w:t>Scenario: HIS encrypted at 02:00; MSSP alert; downtime procedures activated; decision on NCSA and PDPC notification; media inquiry at 09:00.</w:t>
            </w:r>
          </w:p>
        </w:tc>
      </w:tr>
      <w:tr>
        <w:tc>
          <w:tcPr>
            <w:tcW w:type="dxa" w:w="3118"/>
          </w:tcPr>
          <w:p>
            <w:r/>
            <w:r>
              <w:rPr>
                <w:rFonts w:ascii="Calibri" w:hAnsi="Calibri" w:cs="Calibri" w:eastAsia="Calibri"/>
                <w:b w:val="0"/>
                <w:i w:val="0"/>
                <w:sz w:val="18"/>
                <w:szCs w:val="18"/>
              </w:rPr>
              <w:t>Impact (simulated)</w:t>
            </w:r>
          </w:p>
        </w:tc>
        <w:tc>
          <w:tcPr>
            <w:tcW w:type="dxa" w:w="6236"/>
          </w:tcPr>
          <w:p>
            <w:r/>
            <w:r>
              <w:rPr>
                <w:rFonts w:ascii="Calibri" w:hAnsi="Calibri" w:cs="Calibri" w:eastAsia="Calibri"/>
                <w:b w:val="0"/>
                <w:i w:val="0"/>
                <w:sz w:val="18"/>
                <w:szCs w:val="18"/>
              </w:rPr>
              <w:t>HIS down 18 hours; two wards lacked downtime forms; notification decision took 5 hours to reach.</w:t>
            </w:r>
          </w:p>
        </w:tc>
      </w:tr>
    </w:tbl>
    <w:p>
      <w:pPr>
        <w:spacing w:after="40"/>
      </w:pPr>
    </w:p>
    <w:p>
      <w:pPr>
        <w:pStyle w:val="Heading2"/>
        <w:keepNext/>
        <w:spacing w:before="120" w:after="80"/>
      </w:pPr>
      <w:r>
        <w:rPr>
          <w:rFonts w:ascii="Calibri" w:hAnsi="Calibri" w:cs="Calibri" w:eastAsia="Calibri"/>
          <w:b/>
          <w:i w:val="0"/>
          <w:color w:val="1F3864"/>
          <w:sz w:val="24"/>
          <w:szCs w:val="24"/>
          <w:bCs/>
        </w:rPr>
        <w:t>4.4 What Went Well, What to Improve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Record strengths, gaps, and root causes.</w:t>
            </w:r>
          </w:p>
        </w:tc>
      </w:tr>
    </w:tbl>
    <w:p>
      <w:pPr>
        <w:spacing w:after="0"/>
      </w:pPr>
    </w:p>
    <w:p>
      <w:pPr>
        <w:spacing w:after="40" w:before="0"/>
      </w:pPr>
      <w:r>
        <w:rPr>
          <w:rFonts w:ascii="Calibri" w:hAnsi="Calibri" w:cs="Calibri" w:eastAsia="Calibri"/>
          <w:b w:val="0"/>
          <w:i/>
          <w:color w:val="595959"/>
          <w:sz w:val="18"/>
          <w:szCs w:val="18"/>
        </w:rPr>
        <w:t>Sample content</w:t>
      </w:r>
    </w:p>
    <w:tbl>
      <w:tblPr>
        <w:tblStyle w:val="TableGrid"/>
        <w:tblW w:type="auto" w:w="0"/>
        <w:jc w:val="center"/>
        <w:tblLayout w:type="fixed"/>
        <w:tblLook w:firstColumn="1" w:firstRow="1" w:lastColumn="0" w:lastRow="0" w:noHBand="0" w:noVBand="1" w:val="04A0"/>
        <w:tblLayout w:type="fixed"/>
      </w:tblPr>
      <w:tblGrid>
        <w:gridCol w:w="2338"/>
        <w:gridCol w:w="2338"/>
        <w:gridCol w:w="2338"/>
        <w:gridCol w:w="2338"/>
      </w:tblGrid>
      <w:tr>
        <w:trPr>
          <w:tblHeader w:val="true"/>
        </w:trPr>
        <w:tc>
          <w:tcPr>
            <w:tcW w:type="dxa" w:w="2339"/>
            <w:shd w:val="clear" w:color="auto" w:fill="1F3864"/>
          </w:tcPr>
          <w:p>
            <w:r/>
            <w:r>
              <w:rPr>
                <w:rFonts w:ascii="Calibri" w:hAnsi="Calibri" w:cs="Calibri" w:eastAsia="Calibri"/>
                <w:b/>
                <w:i w:val="0"/>
                <w:color w:val="FFFFFF"/>
                <w:sz w:val="18"/>
                <w:szCs w:val="18"/>
                <w:bCs/>
              </w:rPr>
              <w:t>Observation</w:t>
            </w:r>
          </w:p>
        </w:tc>
        <w:tc>
          <w:tcPr>
            <w:tcW w:type="dxa" w:w="2339"/>
            <w:shd w:val="clear" w:color="auto" w:fill="1F3864"/>
          </w:tcPr>
          <w:p>
            <w:r/>
            <w:r>
              <w:rPr>
                <w:rFonts w:ascii="Calibri" w:hAnsi="Calibri" w:cs="Calibri" w:eastAsia="Calibri"/>
                <w:b/>
                <w:i w:val="0"/>
                <w:color w:val="FFFFFF"/>
                <w:sz w:val="18"/>
                <w:szCs w:val="18"/>
                <w:bCs/>
              </w:rPr>
              <w:t>Type</w:t>
            </w:r>
          </w:p>
        </w:tc>
        <w:tc>
          <w:tcPr>
            <w:tcW w:type="dxa" w:w="2339"/>
            <w:shd w:val="clear" w:color="auto" w:fill="1F3864"/>
          </w:tcPr>
          <w:p>
            <w:r/>
            <w:r>
              <w:rPr>
                <w:rFonts w:ascii="Calibri" w:hAnsi="Calibri" w:cs="Calibri" w:eastAsia="Calibri"/>
                <w:b/>
                <w:i w:val="0"/>
                <w:color w:val="FFFFFF"/>
                <w:sz w:val="18"/>
                <w:szCs w:val="18"/>
                <w:bCs/>
              </w:rPr>
              <w:t>Root cause</w:t>
            </w:r>
          </w:p>
        </w:tc>
        <w:tc>
          <w:tcPr>
            <w:tcW w:type="dxa" w:w="2339"/>
            <w:shd w:val="clear" w:color="auto" w:fill="1F3864"/>
          </w:tcPr>
          <w:p>
            <w:r/>
            <w:r>
              <w:rPr>
                <w:rFonts w:ascii="Calibri" w:hAnsi="Calibri" w:cs="Calibri" w:eastAsia="Calibri"/>
                <w:b/>
                <w:i w:val="0"/>
                <w:color w:val="FFFFFF"/>
                <w:sz w:val="18"/>
                <w:szCs w:val="18"/>
                <w:bCs/>
              </w:rPr>
              <w:t>Action and owner</w:t>
            </w:r>
          </w:p>
        </w:tc>
      </w:tr>
      <w:tr>
        <w:tc>
          <w:tcPr>
            <w:tcW w:type="dxa" w:w="2339"/>
          </w:tcPr>
          <w:p>
            <w:r/>
            <w:r>
              <w:rPr>
                <w:rFonts w:ascii="Calibri" w:hAnsi="Calibri" w:cs="Calibri" w:eastAsia="Calibri"/>
                <w:b w:val="0"/>
                <w:i w:val="0"/>
                <w:sz w:val="18"/>
                <w:szCs w:val="18"/>
              </w:rPr>
              <w:t>Escalation from MSSP to on-call reached Security Manager in 12 minutes</w:t>
            </w:r>
          </w:p>
        </w:tc>
        <w:tc>
          <w:tcPr>
            <w:tcW w:type="dxa" w:w="2339"/>
          </w:tcPr>
          <w:p>
            <w:r/>
            <w:r>
              <w:rPr>
                <w:rFonts w:ascii="Calibri" w:hAnsi="Calibri" w:cs="Calibri" w:eastAsia="Calibri"/>
                <w:b w:val="0"/>
                <w:i w:val="0"/>
                <w:sz w:val="18"/>
                <w:szCs w:val="18"/>
              </w:rPr>
              <w:t>Strength</w:t>
            </w:r>
          </w:p>
        </w:tc>
        <w:tc>
          <w:tcPr>
            <w:tcW w:type="dxa" w:w="2339"/>
          </w:tcPr>
          <w:p>
            <w:r/>
            <w:r>
              <w:rPr>
                <w:rFonts w:ascii="Calibri" w:hAnsi="Calibri" w:cs="Calibri" w:eastAsia="Calibri"/>
                <w:b w:val="0"/>
                <w:i w:val="0"/>
                <w:sz w:val="18"/>
                <w:szCs w:val="18"/>
              </w:rPr>
              <w:t>Tested call tree</w:t>
            </w:r>
          </w:p>
        </w:tc>
        <w:tc>
          <w:tcPr>
            <w:tcW w:type="dxa" w:w="2339"/>
          </w:tcPr>
          <w:p>
            <w:r/>
            <w:r>
              <w:rPr>
                <w:rFonts w:ascii="Calibri" w:hAnsi="Calibri" w:cs="Calibri" w:eastAsia="Calibri"/>
                <w:b w:val="0"/>
                <w:i w:val="0"/>
                <w:sz w:val="18"/>
                <w:szCs w:val="18"/>
              </w:rPr>
              <w:t>Keep; retest quarterly</w:t>
            </w:r>
          </w:p>
        </w:tc>
      </w:tr>
      <w:tr>
        <w:tc>
          <w:tcPr>
            <w:tcW w:type="dxa" w:w="2339"/>
          </w:tcPr>
          <w:p>
            <w:r/>
            <w:r>
              <w:rPr>
                <w:rFonts w:ascii="Calibri" w:hAnsi="Calibri" w:cs="Calibri" w:eastAsia="Calibri"/>
                <w:b w:val="0"/>
                <w:i w:val="0"/>
                <w:sz w:val="18"/>
                <w:szCs w:val="18"/>
              </w:rPr>
              <w:t>Downtime forms missing on two wards</w:t>
            </w:r>
          </w:p>
        </w:tc>
        <w:tc>
          <w:tcPr>
            <w:tcW w:type="dxa" w:w="2339"/>
          </w:tcPr>
          <w:p>
            <w:r/>
            <w:r>
              <w:rPr>
                <w:rFonts w:ascii="Calibri" w:hAnsi="Calibri" w:cs="Calibri" w:eastAsia="Calibri"/>
                <w:b w:val="0"/>
                <w:i w:val="0"/>
                <w:sz w:val="18"/>
                <w:szCs w:val="18"/>
              </w:rPr>
              <w:t>Gap</w:t>
            </w:r>
          </w:p>
        </w:tc>
        <w:tc>
          <w:tcPr>
            <w:tcW w:type="dxa" w:w="2339"/>
          </w:tcPr>
          <w:p>
            <w:r/>
            <w:r>
              <w:rPr>
                <w:rFonts w:ascii="Calibri" w:hAnsi="Calibri" w:cs="Calibri" w:eastAsia="Calibri"/>
                <w:b w:val="0"/>
                <w:i w:val="0"/>
                <w:sz w:val="18"/>
                <w:szCs w:val="18"/>
              </w:rPr>
              <w:t>Not in ward checklists</w:t>
            </w:r>
          </w:p>
        </w:tc>
        <w:tc>
          <w:tcPr>
            <w:tcW w:type="dxa" w:w="2339"/>
          </w:tcPr>
          <w:p>
            <w:r/>
            <w:r>
              <w:rPr>
                <w:rFonts w:ascii="Calibri" w:hAnsi="Calibri" w:cs="Calibri" w:eastAsia="Calibri"/>
                <w:b w:val="0"/>
                <w:i w:val="0"/>
                <w:sz w:val="18"/>
                <w:szCs w:val="18"/>
              </w:rPr>
              <w:t>CAR-2026-004, Director of Nursing</w:t>
            </w:r>
          </w:p>
        </w:tc>
      </w:tr>
      <w:tr>
        <w:tc>
          <w:tcPr>
            <w:tcW w:type="dxa" w:w="2339"/>
          </w:tcPr>
          <w:p>
            <w:r/>
            <w:r>
              <w:rPr>
                <w:rFonts w:ascii="Calibri" w:hAnsi="Calibri" w:cs="Calibri" w:eastAsia="Calibri"/>
                <w:b w:val="0"/>
                <w:i w:val="0"/>
                <w:sz w:val="18"/>
                <w:szCs w:val="18"/>
              </w:rPr>
              <w:t>Unclear who decides on PDPC and NCSA notification at night</w:t>
            </w:r>
          </w:p>
        </w:tc>
        <w:tc>
          <w:tcPr>
            <w:tcW w:type="dxa" w:w="2339"/>
          </w:tcPr>
          <w:p>
            <w:r/>
            <w:r>
              <w:rPr>
                <w:rFonts w:ascii="Calibri" w:hAnsi="Calibri" w:cs="Calibri" w:eastAsia="Calibri"/>
                <w:b w:val="0"/>
                <w:i w:val="0"/>
                <w:sz w:val="18"/>
                <w:szCs w:val="18"/>
              </w:rPr>
              <w:t>Gap</w:t>
            </w:r>
          </w:p>
        </w:tc>
        <w:tc>
          <w:tcPr>
            <w:tcW w:type="dxa" w:w="2339"/>
          </w:tcPr>
          <w:p>
            <w:r/>
            <w:r>
              <w:rPr>
                <w:rFonts w:ascii="Calibri" w:hAnsi="Calibri" w:cs="Calibri" w:eastAsia="Calibri"/>
                <w:b w:val="0"/>
                <w:i w:val="0"/>
                <w:sz w:val="18"/>
                <w:szCs w:val="18"/>
              </w:rPr>
              <w:t>Decision authority not in IR plan</w:t>
            </w:r>
          </w:p>
        </w:tc>
        <w:tc>
          <w:tcPr>
            <w:tcW w:type="dxa" w:w="2339"/>
          </w:tcPr>
          <w:p>
            <w:r/>
            <w:r>
              <w:rPr>
                <w:rFonts w:ascii="Calibri" w:hAnsi="Calibri" w:cs="Calibri" w:eastAsia="Calibri"/>
                <w:b w:val="0"/>
                <w:i w:val="0"/>
                <w:sz w:val="18"/>
                <w:szCs w:val="18"/>
              </w:rPr>
              <w:t>Update RS-PLN-001 and RS-PRC-003, Security Manager</w:t>
            </w:r>
          </w:p>
        </w:tc>
      </w:tr>
      <w:tr>
        <w:tc>
          <w:tcPr>
            <w:tcW w:type="dxa" w:w="2339"/>
          </w:tcPr>
          <w:p>
            <w:r/>
            <w:r>
              <w:rPr>
                <w:rFonts w:ascii="Calibri" w:hAnsi="Calibri" w:cs="Calibri" w:eastAsia="Calibri"/>
                <w:b w:val="0"/>
                <w:i w:val="0"/>
                <w:sz w:val="18"/>
                <w:szCs w:val="18"/>
              </w:rPr>
              <w:t>Communications holding statement drafted quickly</w:t>
            </w:r>
          </w:p>
        </w:tc>
        <w:tc>
          <w:tcPr>
            <w:tcW w:type="dxa" w:w="2339"/>
          </w:tcPr>
          <w:p>
            <w:r/>
            <w:r>
              <w:rPr>
                <w:rFonts w:ascii="Calibri" w:hAnsi="Calibri" w:cs="Calibri" w:eastAsia="Calibri"/>
                <w:b w:val="0"/>
                <w:i w:val="0"/>
                <w:sz w:val="18"/>
                <w:szCs w:val="18"/>
              </w:rPr>
              <w:t>Strength</w:t>
            </w:r>
          </w:p>
        </w:tc>
        <w:tc>
          <w:tcPr>
            <w:tcW w:type="dxa" w:w="2339"/>
          </w:tcPr>
          <w:p>
            <w:r/>
            <w:r>
              <w:rPr>
                <w:rFonts w:ascii="Calibri" w:hAnsi="Calibri" w:cs="Calibri" w:eastAsia="Calibri"/>
                <w:b w:val="0"/>
                <w:i w:val="0"/>
                <w:sz w:val="18"/>
                <w:szCs w:val="18"/>
              </w:rPr>
              <w:t>Template RC-TPL-001 available</w:t>
            </w:r>
          </w:p>
        </w:tc>
        <w:tc>
          <w:tcPr>
            <w:tcW w:type="dxa" w:w="2339"/>
          </w:tcPr>
          <w:p>
            <w:r/>
            <w:r>
              <w:rPr>
                <w:rFonts w:ascii="Calibri" w:hAnsi="Calibri" w:cs="Calibri" w:eastAsia="Calibri"/>
                <w:b w:val="0"/>
                <w:i w:val="0"/>
                <w:sz w:val="18"/>
                <w:szCs w:val="18"/>
              </w:rPr>
              <w:t>Keep</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Hold the review within two weeks while memory is fresh, and keep it blameless.</w:t>
      </w:r>
    </w:p>
    <w:p>
      <w:pPr>
        <w:pStyle w:val="ListBullet"/>
        <w:spacing w:after="40"/>
      </w:pPr>
      <w:r>
        <w:rPr>
          <w:rFonts w:ascii="Calibri" w:hAnsi="Calibri" w:cs="Calibri" w:eastAsia="Calibri"/>
          <w:b w:val="0"/>
          <w:i w:val="0"/>
          <w:sz w:val="21"/>
          <w:szCs w:val="21"/>
        </w:rPr>
        <w:t>Update the affected plans and record the update in their revision history.</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Lessons are written but never assigned or tracked.</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ID.IM-03: Improvements are identified from execution of operational processes, procedures, and activities</w:t>
            </w:r>
          </w:p>
          <w:p>
            <w:r>
              <w:rPr>
                <w:rFonts w:ascii="Calibri" w:hAnsi="Calibri" w:cs="Calibri" w:eastAsia="Calibri"/>
                <w:b w:val="0"/>
                <w:i w:val="0"/>
                <w:sz w:val="18"/>
                <w:szCs w:val="18"/>
              </w:rPr>
              <w:t>ID.IM-04: Incident response plans and other cybersecurity plans that affect operations are established, communicated, maintained, and improved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A.5.27</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IR-4, IR-8</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ISO/IEC 27001:2022 Annex A 5.27</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ID-PRC-006: Continual Improvement and Corrective Action Procedure</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headerReference w:type="default" r:id="rId9"/>
      <w:footerReference w:type="default" r:id="rId10"/>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ID-TPL-001  |  Lessons Learned Report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