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Penetration Test Authorization and Rules of Engagement</w:t>
      </w:r>
    </w:p>
    <w:p>
      <w:pPr>
        <w:spacing w:after="80" w:before="0"/>
      </w:pPr>
      <w:r>
        <w:rPr>
          <w:rFonts w:ascii="Calibri" w:hAnsi="Calibri" w:cs="Calibri" w:eastAsia="Calibri"/>
          <w:b w:val="0"/>
          <w:i w:val="0"/>
          <w:color w:val="595959"/>
          <w:sz w:val="18"/>
          <w:szCs w:val="18"/>
        </w:rPr>
        <w:t>ID-FRM-002  |  Form  |  Risk Assessment (ID.RA)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ID-FRM-002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Penetration Test Authorization and Rules of Engagement</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19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19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Form</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Risk Assessment (ID.RA)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Computer Crime Act B.E. 2550 s.5 and s.7 (written authorization separates testing from unauthorized access)</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Process, Evidence, Legal and Regulatory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10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19 March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authorizes a penetration test in writing and defines the rules of engagement, protecting the organization and testers and separating authorized testing from offenses under the Computer Crime Act B.E. 2550.</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is used by the units and roles named in its parent document (ID-PRC-003) and covers the activities that document defines.</w:t>
      </w:r>
    </w:p>
    <w:p>
      <w:pPr>
        <w:pStyle w:val="Heading2"/>
        <w:keepNext/>
        <w:spacing w:before="120" w:after="80"/>
      </w:pPr>
      <w:r>
        <w:rPr>
          <w:rFonts w:ascii="Calibri" w:hAnsi="Calibri" w:cs="Calibri" w:eastAsia="Calibri"/>
          <w:b/>
          <w:i w:val="0"/>
          <w:color w:val="1F3864"/>
          <w:sz w:val="24"/>
          <w:szCs w:val="24"/>
          <w:bCs/>
        </w:rPr>
        <w:t>4.3 Form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every field the requester or approver must complete, with a clear description, so the form is complete and auditable.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23"/>
        <w:gridCol w:w="2268"/>
        <w:gridCol w:w="3628"/>
        <w:gridCol w:w="2835"/>
      </w:tblGrid>
      <w:tr>
        <w:trPr>
          <w:tblHeader w:val="true"/>
        </w:trPr>
        <w:tc>
          <w:tcPr>
            <w:tcW w:type="dxa" w:w="624"/>
            <w:shd w:val="clear" w:color="auto" w:fill="1F3864"/>
          </w:tcPr>
          <w:p>
            <w:r/>
            <w:r>
              <w:rPr>
                <w:rFonts w:ascii="Calibri" w:hAnsi="Calibri" w:cs="Calibri" w:eastAsia="Calibri"/>
                <w:b/>
                <w:i w:val="0"/>
                <w:color w:val="FFFFFF"/>
                <w:sz w:val="18"/>
                <w:szCs w:val="18"/>
                <w:bCs/>
              </w:rPr>
              <w:t>No.</w:t>
            </w:r>
          </w:p>
        </w:tc>
        <w:tc>
          <w:tcPr>
            <w:tcW w:type="dxa" w:w="2268"/>
            <w:shd w:val="clear" w:color="auto" w:fill="1F3864"/>
          </w:tcPr>
          <w:p>
            <w:r/>
            <w:r>
              <w:rPr>
                <w:rFonts w:ascii="Calibri" w:hAnsi="Calibri" w:cs="Calibri" w:eastAsia="Calibri"/>
                <w:b/>
                <w:i w:val="0"/>
                <w:color w:val="FFFFFF"/>
                <w:sz w:val="18"/>
                <w:szCs w:val="18"/>
                <w:bCs/>
              </w:rPr>
              <w:t>Field</w:t>
            </w:r>
          </w:p>
        </w:tc>
        <w:tc>
          <w:tcPr>
            <w:tcW w:type="dxa" w:w="3628"/>
            <w:shd w:val="clear" w:color="auto" w:fill="1F3864"/>
          </w:tcPr>
          <w:p>
            <w:r/>
            <w:r>
              <w:rPr>
                <w:rFonts w:ascii="Calibri" w:hAnsi="Calibri" w:cs="Calibri" w:eastAsia="Calibri"/>
                <w:b/>
                <w:i w:val="0"/>
                <w:color w:val="FFFFFF"/>
                <w:sz w:val="18"/>
                <w:szCs w:val="18"/>
                <w:bCs/>
              </w:rPr>
              <w:t>Description</w:t>
            </w:r>
          </w:p>
        </w:tc>
        <w:tc>
          <w:tcPr>
            <w:tcW w:type="dxa" w:w="2835"/>
            <w:shd w:val="clear" w:color="auto" w:fill="1F3864"/>
          </w:tcPr>
          <w:p>
            <w:r/>
            <w:r>
              <w:rPr>
                <w:rFonts w:ascii="Calibri" w:hAnsi="Calibri" w:cs="Calibri" w:eastAsia="Calibri"/>
                <w:b/>
                <w:i w:val="0"/>
                <w:color w:val="FFFFFF"/>
                <w:sz w:val="18"/>
                <w:szCs w:val="18"/>
                <w:bCs/>
              </w:rPr>
              <w:t>Entry</w:t>
            </w:r>
          </w:p>
        </w:tc>
      </w:tr>
      <w:tr>
        <w:tc>
          <w:tcPr>
            <w:tcW w:type="dxa" w:w="624"/>
          </w:tcPr>
          <w:p>
            <w:r/>
            <w:r>
              <w:rPr>
                <w:rFonts w:ascii="Calibri" w:hAnsi="Calibri" w:cs="Calibri" w:eastAsia="Calibri"/>
                <w:b w:val="0"/>
                <w:i w:val="0"/>
                <w:sz w:val="18"/>
                <w:szCs w:val="18"/>
              </w:rPr>
              <w:t>1</w:t>
            </w:r>
          </w:p>
        </w:tc>
        <w:tc>
          <w:tcPr>
            <w:tcW w:type="dxa" w:w="2268"/>
          </w:tcPr>
          <w:p>
            <w:r/>
            <w:r>
              <w:rPr>
                <w:rFonts w:ascii="Calibri" w:hAnsi="Calibri" w:cs="Calibri" w:eastAsia="Calibri"/>
                <w:b w:val="0"/>
                <w:i w:val="0"/>
                <w:sz w:val="18"/>
                <w:szCs w:val="18"/>
              </w:rPr>
              <w:t>Test name and reference</w:t>
            </w:r>
          </w:p>
        </w:tc>
        <w:tc>
          <w:tcPr>
            <w:tcW w:type="dxa" w:w="3628"/>
          </w:tcPr>
          <w:p>
            <w:r/>
            <w:r>
              <w:rPr>
                <w:rFonts w:ascii="Calibri" w:hAnsi="Calibri" w:cs="Calibri" w:eastAsia="Calibri"/>
                <w:b w:val="0"/>
                <w:i w:val="0"/>
                <w:sz w:val="18"/>
                <w:szCs w:val="18"/>
              </w:rPr>
              <w:t>Engagement reference.</w:t>
            </w:r>
          </w:p>
        </w:tc>
        <w:tc>
          <w:tcPr>
            <w:tcW w:type="dxa" w:w="2835"/>
          </w:tcPr>
          <w:p>
            <w:r/>
            <w:r>
              <w:rPr>
                <w:rFonts w:ascii="Calibri" w:hAnsi="Calibri" w:cs="Calibri" w:eastAsia="Calibri"/>
                <w:b w:val="0"/>
                <w:i w:val="0"/>
                <w:sz w:val="18"/>
                <w:szCs w:val="18"/>
              </w:rPr>
              <w:t>PT-2026-01 Annual external and internal test</w:t>
            </w:r>
          </w:p>
        </w:tc>
      </w:tr>
      <w:tr>
        <w:tc>
          <w:tcPr>
            <w:tcW w:type="dxa" w:w="624"/>
          </w:tcPr>
          <w:p>
            <w:r/>
            <w:r>
              <w:rPr>
                <w:rFonts w:ascii="Calibri" w:hAnsi="Calibri" w:cs="Calibri" w:eastAsia="Calibri"/>
                <w:b w:val="0"/>
                <w:i w:val="0"/>
                <w:sz w:val="18"/>
                <w:szCs w:val="18"/>
              </w:rPr>
              <w:t>2</w:t>
            </w:r>
          </w:p>
        </w:tc>
        <w:tc>
          <w:tcPr>
            <w:tcW w:type="dxa" w:w="2268"/>
          </w:tcPr>
          <w:p>
            <w:r/>
            <w:r>
              <w:rPr>
                <w:rFonts w:ascii="Calibri" w:hAnsi="Calibri" w:cs="Calibri" w:eastAsia="Calibri"/>
                <w:b w:val="0"/>
                <w:i w:val="0"/>
                <w:sz w:val="18"/>
                <w:szCs w:val="18"/>
              </w:rPr>
              <w:t>Testing organization and testers</w:t>
            </w:r>
          </w:p>
        </w:tc>
        <w:tc>
          <w:tcPr>
            <w:tcW w:type="dxa" w:w="3628"/>
          </w:tcPr>
          <w:p>
            <w:r/>
            <w:r>
              <w:rPr>
                <w:rFonts w:ascii="Calibri" w:hAnsi="Calibri" w:cs="Calibri" w:eastAsia="Calibri"/>
                <w:b w:val="0"/>
                <w:i w:val="0"/>
                <w:sz w:val="18"/>
                <w:szCs w:val="18"/>
              </w:rPr>
              <w:t>Company, named testers, source IP addresses.</w:t>
            </w:r>
          </w:p>
        </w:tc>
        <w:tc>
          <w:tcPr>
            <w:tcW w:type="dxa" w:w="2835"/>
          </w:tcPr>
          <w:p>
            <w:r/>
            <w:r>
              <w:rPr>
                <w:rFonts w:ascii="Calibri" w:hAnsi="Calibri" w:cs="Calibri" w:eastAsia="Calibri"/>
                <w:b w:val="0"/>
                <w:i w:val="0"/>
                <w:sz w:val="18"/>
                <w:szCs w:val="18"/>
              </w:rPr>
              <w:t>Contracted testing firm; three named testers; source IPs listed in annex</w:t>
            </w:r>
          </w:p>
        </w:tc>
      </w:tr>
      <w:tr>
        <w:tc>
          <w:tcPr>
            <w:tcW w:type="dxa" w:w="624"/>
          </w:tcPr>
          <w:p>
            <w:r/>
            <w:r>
              <w:rPr>
                <w:rFonts w:ascii="Calibri" w:hAnsi="Calibri" w:cs="Calibri" w:eastAsia="Calibri"/>
                <w:b w:val="0"/>
                <w:i w:val="0"/>
                <w:sz w:val="18"/>
                <w:szCs w:val="18"/>
              </w:rPr>
              <w:t>3</w:t>
            </w:r>
          </w:p>
        </w:tc>
        <w:tc>
          <w:tcPr>
            <w:tcW w:type="dxa" w:w="2268"/>
          </w:tcPr>
          <w:p>
            <w:r/>
            <w:r>
              <w:rPr>
                <w:rFonts w:ascii="Calibri" w:hAnsi="Calibri" w:cs="Calibri" w:eastAsia="Calibri"/>
                <w:b w:val="0"/>
                <w:i w:val="0"/>
                <w:sz w:val="18"/>
                <w:szCs w:val="18"/>
              </w:rPr>
              <w:t>In-scope targets</w:t>
            </w:r>
          </w:p>
        </w:tc>
        <w:tc>
          <w:tcPr>
            <w:tcW w:type="dxa" w:w="3628"/>
          </w:tcPr>
          <w:p>
            <w:r/>
            <w:r>
              <w:rPr>
                <w:rFonts w:ascii="Calibri" w:hAnsi="Calibri" w:cs="Calibri" w:eastAsia="Calibri"/>
                <w:b w:val="0"/>
                <w:i w:val="0"/>
                <w:sz w:val="18"/>
                <w:szCs w:val="18"/>
              </w:rPr>
              <w:t>Systems, URLs, IP ranges.</w:t>
            </w:r>
          </w:p>
        </w:tc>
        <w:tc>
          <w:tcPr>
            <w:tcW w:type="dxa" w:w="2835"/>
          </w:tcPr>
          <w:p>
            <w:r/>
            <w:r>
              <w:rPr>
                <w:rFonts w:ascii="Calibri" w:hAnsi="Calibri" w:cs="Calibri" w:eastAsia="Calibri"/>
                <w:b w:val="0"/>
                <w:i w:val="0"/>
                <w:sz w:val="18"/>
                <w:szCs w:val="18"/>
              </w:rPr>
              <w:t>Patient portal, external IP range, HIS web modules (test environment and read-only production)</w:t>
            </w:r>
          </w:p>
        </w:tc>
      </w:tr>
      <w:tr>
        <w:tc>
          <w:tcPr>
            <w:tcW w:type="dxa" w:w="624"/>
          </w:tcPr>
          <w:p>
            <w:r/>
            <w:r>
              <w:rPr>
                <w:rFonts w:ascii="Calibri" w:hAnsi="Calibri" w:cs="Calibri" w:eastAsia="Calibri"/>
                <w:b w:val="0"/>
                <w:i w:val="0"/>
                <w:sz w:val="18"/>
                <w:szCs w:val="18"/>
              </w:rPr>
              <w:t>4</w:t>
            </w:r>
          </w:p>
        </w:tc>
        <w:tc>
          <w:tcPr>
            <w:tcW w:type="dxa" w:w="2268"/>
          </w:tcPr>
          <w:p>
            <w:r/>
            <w:r>
              <w:rPr>
                <w:rFonts w:ascii="Calibri" w:hAnsi="Calibri" w:cs="Calibri" w:eastAsia="Calibri"/>
                <w:b w:val="0"/>
                <w:i w:val="0"/>
                <w:sz w:val="18"/>
                <w:szCs w:val="18"/>
              </w:rPr>
              <w:t>Out-of-scope targets</w:t>
            </w:r>
          </w:p>
        </w:tc>
        <w:tc>
          <w:tcPr>
            <w:tcW w:type="dxa" w:w="3628"/>
          </w:tcPr>
          <w:p>
            <w:r/>
            <w:r>
              <w:rPr>
                <w:rFonts w:ascii="Calibri" w:hAnsi="Calibri" w:cs="Calibri" w:eastAsia="Calibri"/>
                <w:b w:val="0"/>
                <w:i w:val="0"/>
                <w:sz w:val="18"/>
                <w:szCs w:val="18"/>
              </w:rPr>
              <w:t>Systems that must not be tested.</w:t>
            </w:r>
          </w:p>
        </w:tc>
        <w:tc>
          <w:tcPr>
            <w:tcW w:type="dxa" w:w="2835"/>
          </w:tcPr>
          <w:p>
            <w:r/>
            <w:r>
              <w:rPr>
                <w:rFonts w:ascii="Calibri" w:hAnsi="Calibri" w:cs="Calibri" w:eastAsia="Calibri"/>
                <w:b w:val="0"/>
                <w:i w:val="0"/>
                <w:sz w:val="18"/>
                <w:szCs w:val="18"/>
              </w:rPr>
              <w:t>Medical devices, PACS modalities, life-support systems, production databases</w:t>
            </w:r>
          </w:p>
        </w:tc>
      </w:tr>
      <w:tr>
        <w:tc>
          <w:tcPr>
            <w:tcW w:type="dxa" w:w="624"/>
          </w:tcPr>
          <w:p>
            <w:r/>
            <w:r>
              <w:rPr>
                <w:rFonts w:ascii="Calibri" w:hAnsi="Calibri" w:cs="Calibri" w:eastAsia="Calibri"/>
                <w:b w:val="0"/>
                <w:i w:val="0"/>
                <w:sz w:val="18"/>
                <w:szCs w:val="18"/>
              </w:rPr>
              <w:t>5</w:t>
            </w:r>
          </w:p>
        </w:tc>
        <w:tc>
          <w:tcPr>
            <w:tcW w:type="dxa" w:w="2268"/>
          </w:tcPr>
          <w:p>
            <w:r/>
            <w:r>
              <w:rPr>
                <w:rFonts w:ascii="Calibri" w:hAnsi="Calibri" w:cs="Calibri" w:eastAsia="Calibri"/>
                <w:b w:val="0"/>
                <w:i w:val="0"/>
                <w:sz w:val="18"/>
                <w:szCs w:val="18"/>
              </w:rPr>
              <w:t>Test window</w:t>
            </w:r>
          </w:p>
        </w:tc>
        <w:tc>
          <w:tcPr>
            <w:tcW w:type="dxa" w:w="3628"/>
          </w:tcPr>
          <w:p>
            <w:r/>
            <w:r>
              <w:rPr>
                <w:rFonts w:ascii="Calibri" w:hAnsi="Calibri" w:cs="Calibri" w:eastAsia="Calibri"/>
                <w:b w:val="0"/>
                <w:i w:val="0"/>
                <w:sz w:val="18"/>
                <w:szCs w:val="18"/>
              </w:rPr>
              <w:t>Dates and hours.</w:t>
            </w:r>
          </w:p>
        </w:tc>
        <w:tc>
          <w:tcPr>
            <w:tcW w:type="dxa" w:w="2835"/>
          </w:tcPr>
          <w:p>
            <w:r/>
            <w:r>
              <w:rPr>
                <w:rFonts w:ascii="Calibri" w:hAnsi="Calibri" w:cs="Calibri" w:eastAsia="Calibri"/>
                <w:b w:val="0"/>
                <w:i w:val="0"/>
                <w:sz w:val="18"/>
                <w:szCs w:val="18"/>
              </w:rPr>
              <w:t>4 to 15 August 2026, 20:00 to 06:00 for production targets</w:t>
            </w:r>
          </w:p>
        </w:tc>
      </w:tr>
      <w:tr>
        <w:tc>
          <w:tcPr>
            <w:tcW w:type="dxa" w:w="624"/>
          </w:tcPr>
          <w:p>
            <w:r/>
            <w:r>
              <w:rPr>
                <w:rFonts w:ascii="Calibri" w:hAnsi="Calibri" w:cs="Calibri" w:eastAsia="Calibri"/>
                <w:b w:val="0"/>
                <w:i w:val="0"/>
                <w:sz w:val="18"/>
                <w:szCs w:val="18"/>
              </w:rPr>
              <w:t>6</w:t>
            </w:r>
          </w:p>
        </w:tc>
        <w:tc>
          <w:tcPr>
            <w:tcW w:type="dxa" w:w="2268"/>
          </w:tcPr>
          <w:p>
            <w:r/>
            <w:r>
              <w:rPr>
                <w:rFonts w:ascii="Calibri" w:hAnsi="Calibri" w:cs="Calibri" w:eastAsia="Calibri"/>
                <w:b w:val="0"/>
                <w:i w:val="0"/>
                <w:sz w:val="18"/>
                <w:szCs w:val="18"/>
              </w:rPr>
              <w:t>Permitted and prohibited techniques</w:t>
            </w:r>
          </w:p>
        </w:tc>
        <w:tc>
          <w:tcPr>
            <w:tcW w:type="dxa" w:w="3628"/>
          </w:tcPr>
          <w:p>
            <w:r/>
            <w:r>
              <w:rPr>
                <w:rFonts w:ascii="Calibri" w:hAnsi="Calibri" w:cs="Calibri" w:eastAsia="Calibri"/>
                <w:b w:val="0"/>
                <w:i w:val="0"/>
                <w:sz w:val="18"/>
                <w:szCs w:val="18"/>
              </w:rPr>
              <w:t>For example, no denial of service, no social engineering unless approved.</w:t>
            </w:r>
          </w:p>
        </w:tc>
        <w:tc>
          <w:tcPr>
            <w:tcW w:type="dxa" w:w="2835"/>
          </w:tcPr>
          <w:p>
            <w:r/>
            <w:r>
              <w:rPr>
                <w:rFonts w:ascii="Calibri" w:hAnsi="Calibri" w:cs="Calibri" w:eastAsia="Calibri"/>
                <w:b w:val="0"/>
                <w:i w:val="0"/>
                <w:sz w:val="18"/>
                <w:szCs w:val="18"/>
              </w:rPr>
              <w:t>No denial of service; no data modification in production; phishing excluded</w:t>
            </w:r>
          </w:p>
        </w:tc>
      </w:tr>
      <w:tr>
        <w:tc>
          <w:tcPr>
            <w:tcW w:type="dxa" w:w="624"/>
          </w:tcPr>
          <w:p>
            <w:r/>
            <w:r>
              <w:rPr>
                <w:rFonts w:ascii="Calibri" w:hAnsi="Calibri" w:cs="Calibri" w:eastAsia="Calibri"/>
                <w:b w:val="0"/>
                <w:i w:val="0"/>
                <w:sz w:val="18"/>
                <w:szCs w:val="18"/>
              </w:rPr>
              <w:t>7</w:t>
            </w:r>
          </w:p>
        </w:tc>
        <w:tc>
          <w:tcPr>
            <w:tcW w:type="dxa" w:w="2268"/>
          </w:tcPr>
          <w:p>
            <w:r/>
            <w:r>
              <w:rPr>
                <w:rFonts w:ascii="Calibri" w:hAnsi="Calibri" w:cs="Calibri" w:eastAsia="Calibri"/>
                <w:b w:val="0"/>
                <w:i w:val="0"/>
                <w:sz w:val="18"/>
                <w:szCs w:val="18"/>
              </w:rPr>
              <w:t>Data handling</w:t>
            </w:r>
          </w:p>
        </w:tc>
        <w:tc>
          <w:tcPr>
            <w:tcW w:type="dxa" w:w="3628"/>
          </w:tcPr>
          <w:p>
            <w:r/>
            <w:r>
              <w:rPr>
                <w:rFonts w:ascii="Calibri" w:hAnsi="Calibri" w:cs="Calibri" w:eastAsia="Calibri"/>
                <w:b w:val="0"/>
                <w:i w:val="0"/>
                <w:sz w:val="18"/>
                <w:szCs w:val="18"/>
              </w:rPr>
              <w:t>How test data and findings are protected and destroyed.</w:t>
            </w:r>
          </w:p>
        </w:tc>
        <w:tc>
          <w:tcPr>
            <w:tcW w:type="dxa" w:w="2835"/>
          </w:tcPr>
          <w:p>
            <w:r/>
            <w:r>
              <w:rPr>
                <w:rFonts w:ascii="Calibri" w:hAnsi="Calibri" w:cs="Calibri" w:eastAsia="Calibri"/>
                <w:b w:val="0"/>
                <w:i w:val="0"/>
                <w:sz w:val="18"/>
                <w:szCs w:val="18"/>
              </w:rPr>
              <w:t>Findings encrypted; test data deleted within 30 days of final report; certificate of deletion provided</w:t>
            </w:r>
          </w:p>
        </w:tc>
      </w:tr>
      <w:tr>
        <w:tc>
          <w:tcPr>
            <w:tcW w:type="dxa" w:w="624"/>
          </w:tcPr>
          <w:p>
            <w:r/>
            <w:r>
              <w:rPr>
                <w:rFonts w:ascii="Calibri" w:hAnsi="Calibri" w:cs="Calibri" w:eastAsia="Calibri"/>
                <w:b w:val="0"/>
                <w:i w:val="0"/>
                <w:sz w:val="18"/>
                <w:szCs w:val="18"/>
              </w:rPr>
              <w:t>8</w:t>
            </w:r>
          </w:p>
        </w:tc>
        <w:tc>
          <w:tcPr>
            <w:tcW w:type="dxa" w:w="2268"/>
          </w:tcPr>
          <w:p>
            <w:r/>
            <w:r>
              <w:rPr>
                <w:rFonts w:ascii="Calibri" w:hAnsi="Calibri" w:cs="Calibri" w:eastAsia="Calibri"/>
                <w:b w:val="0"/>
                <w:i w:val="0"/>
                <w:sz w:val="18"/>
                <w:szCs w:val="18"/>
              </w:rPr>
              <w:t>Emergency contacts and stop procedure</w:t>
            </w:r>
          </w:p>
        </w:tc>
        <w:tc>
          <w:tcPr>
            <w:tcW w:type="dxa" w:w="3628"/>
          </w:tcPr>
          <w:p>
            <w:r/>
            <w:r>
              <w:rPr>
                <w:rFonts w:ascii="Calibri" w:hAnsi="Calibri" w:cs="Calibri" w:eastAsia="Calibri"/>
                <w:b w:val="0"/>
                <w:i w:val="0"/>
                <w:sz w:val="18"/>
                <w:szCs w:val="18"/>
              </w:rPr>
              <w:t>Who to call and when to stop.</w:t>
            </w:r>
          </w:p>
        </w:tc>
        <w:tc>
          <w:tcPr>
            <w:tcW w:type="dxa" w:w="2835"/>
          </w:tcPr>
          <w:p>
            <w:r/>
            <w:r>
              <w:rPr>
                <w:rFonts w:ascii="Calibri" w:hAnsi="Calibri" w:cs="Calibri" w:eastAsia="Calibri"/>
                <w:b w:val="0"/>
                <w:i w:val="0"/>
                <w:sz w:val="18"/>
                <w:szCs w:val="18"/>
              </w:rPr>
              <w:t>Security Manager (24x7 phone) and MSSP SOC; testers stop immediately on any clinical system slowdown</w:t>
            </w:r>
          </w:p>
        </w:tc>
      </w:tr>
    </w:tbl>
    <w:p>
      <w:pPr>
        <w:spacing w:after="40"/>
      </w:pPr>
    </w:p>
    <w:p>
      <w:pPr>
        <w:pStyle w:val="Heading2"/>
        <w:keepNext/>
        <w:spacing w:before="120" w:after="80"/>
      </w:pPr>
      <w:r>
        <w:rPr>
          <w:rFonts w:ascii="Calibri" w:hAnsi="Calibri" w:cs="Calibri" w:eastAsia="Calibri"/>
          <w:b/>
          <w:i w:val="0"/>
          <w:color w:val="1F3864"/>
          <w:sz w:val="24"/>
          <w:szCs w:val="24"/>
          <w:bCs/>
        </w:rPr>
        <w:t>4.4 Approval and Sign-off</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who reviewed and approved the form, with name, date, and signature or electronic approval.</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835"/>
        <w:gridCol w:w="2551"/>
        <w:gridCol w:w="2268"/>
        <w:gridCol w:w="1701"/>
      </w:tblGrid>
      <w:tr>
        <w:trPr>
          <w:tblHeader w:val="true"/>
        </w:trPr>
        <w:tc>
          <w:tcPr>
            <w:tcW w:type="dxa" w:w="2835"/>
            <w:shd w:val="clear" w:color="auto" w:fill="1F3864"/>
          </w:tcPr>
          <w:p>
            <w:r/>
            <w:r>
              <w:rPr>
                <w:rFonts w:ascii="Calibri" w:hAnsi="Calibri" w:cs="Calibri" w:eastAsia="Calibri"/>
                <w:b/>
                <w:i w:val="0"/>
                <w:color w:val="FFFFFF"/>
                <w:sz w:val="18"/>
                <w:szCs w:val="18"/>
                <w:bCs/>
              </w:rPr>
              <w:t>Role</w:t>
            </w:r>
          </w:p>
        </w:tc>
        <w:tc>
          <w:tcPr>
            <w:tcW w:type="dxa" w:w="2551"/>
            <w:shd w:val="clear" w:color="auto" w:fill="1F3864"/>
          </w:tcPr>
          <w:p>
            <w:r/>
            <w:r>
              <w:rPr>
                <w:rFonts w:ascii="Calibri" w:hAnsi="Calibri" w:cs="Calibri" w:eastAsia="Calibri"/>
                <w:b/>
                <w:i w:val="0"/>
                <w:color w:val="FFFFFF"/>
                <w:sz w:val="18"/>
                <w:szCs w:val="18"/>
                <w:bCs/>
              </w:rPr>
              <w:t>Name</w:t>
            </w:r>
          </w:p>
        </w:tc>
        <w:tc>
          <w:tcPr>
            <w:tcW w:type="dxa" w:w="2268"/>
            <w:shd w:val="clear" w:color="auto" w:fill="1F3864"/>
          </w:tcPr>
          <w:p>
            <w:r/>
            <w:r>
              <w:rPr>
                <w:rFonts w:ascii="Calibri" w:hAnsi="Calibri" w:cs="Calibri" w:eastAsia="Calibri"/>
                <w:b/>
                <w:i w:val="0"/>
                <w:color w:val="FFFFFF"/>
                <w:sz w:val="18"/>
                <w:szCs w:val="18"/>
                <w:bCs/>
              </w:rPr>
              <w:t>Signature</w:t>
            </w:r>
          </w:p>
        </w:tc>
        <w:tc>
          <w:tcPr>
            <w:tcW w:type="dxa" w:w="1701"/>
            <w:shd w:val="clear" w:color="auto" w:fill="1F3864"/>
          </w:tcPr>
          <w:p>
            <w:r/>
            <w:r>
              <w:rPr>
                <w:rFonts w:ascii="Calibri" w:hAnsi="Calibri" w:cs="Calibri" w:eastAsia="Calibri"/>
                <w:b/>
                <w:i w:val="0"/>
                <w:color w:val="FFFFFF"/>
                <w:sz w:val="18"/>
                <w:szCs w:val="18"/>
                <w:bCs/>
              </w:rPr>
              <w:t>Date</w:t>
            </w:r>
          </w:p>
        </w:tc>
      </w:tr>
      <w:tr>
        <w:tc>
          <w:tcPr>
            <w:tcW w:type="dxa" w:w="2835"/>
          </w:tcPr>
          <w:p>
            <w:r/>
            <w:r>
              <w:rPr>
                <w:rFonts w:ascii="Calibri" w:hAnsi="Calibri" w:cs="Calibri" w:eastAsia="Calibri"/>
                <w:b w:val="0"/>
                <w:i w:val="0"/>
                <w:sz w:val="18"/>
                <w:szCs w:val="18"/>
              </w:rPr>
              <w:t>Security Manager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System Owner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Chief Information Officer (CIO)</w:t>
            </w:r>
          </w:p>
        </w:tc>
        <w:tc>
          <w:tcPr>
            <w:tcW w:type="dxa" w:w="2551"/>
          </w:tcPr>
          <w:p>
            <w:r/>
          </w:p>
        </w:tc>
        <w:tc>
          <w:tcPr>
            <w:tcW w:type="dxa" w:w="2268"/>
          </w:tcPr>
          <w:p>
            <w:r/>
          </w:p>
        </w:tc>
        <w:tc>
          <w:tcPr>
            <w:tcW w:type="dxa" w:w="1701"/>
          </w:tcPr>
          <w:p>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Get written approval from the system owner and, for hosted systems, from the hosting provider.</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Starting tests on verbal approval, exposing testers to legal risk.</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ID.RA-01: Vulnerabilities in assets are identified, validated, and recorded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A.8.29</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CA-8</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Computer Crime Act B.E. 2550 s.5 and s.7 (written authorization separates testing from unauthorized access)</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ID-PRC-003: Penetration Testing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ID-FRM-002  |  Penetration Test Authorization and Rules of Engagement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