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Risk Treatment Plan</w:t>
      </w:r>
    </w:p>
    <w:p>
      <w:pPr>
        <w:spacing w:after="80" w:before="0"/>
      </w:pPr>
      <w:r>
        <w:rPr>
          <w:rFonts w:ascii="Calibri" w:hAnsi="Calibri" w:cs="Calibri" w:eastAsia="Calibri"/>
          <w:b w:val="0"/>
          <w:i w:val="0"/>
          <w:color w:val="595959"/>
          <w:sz w:val="18"/>
          <w:szCs w:val="18"/>
        </w:rPr>
        <w:t>ID-PLN-001  |  Plan  |  Risk Assessment (ID.RA)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ID-PLN-001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Risk Treatment Plan</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7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Quarterly</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7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Plan</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Risk Assessment (ID.RA)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6.1.3(e) and 8.3</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22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7 June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sets out the actions chosen to treat each risk, with owners, resources, dates, and target residual risk, and tracks progress (ID.RA-06; ISO/IEC 27001:2022 Clause 6.1.3(e) and 8.3).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Treatment Actions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each action with linked risk, owner, resources, dates, and target.</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169"/>
        <w:gridCol w:w="1169"/>
        <w:gridCol w:w="1169"/>
        <w:gridCol w:w="1169"/>
        <w:gridCol w:w="1169"/>
        <w:gridCol w:w="1169"/>
        <w:gridCol w:w="1169"/>
        <w:gridCol w:w="1169"/>
      </w:tblGrid>
      <w:tr>
        <w:trPr>
          <w:tblHeader w:val="true"/>
        </w:trPr>
        <w:tc>
          <w:tcPr>
            <w:tcW w:type="dxa" w:w="1169"/>
            <w:shd w:val="clear" w:color="auto" w:fill="1F3864"/>
          </w:tcPr>
          <w:p>
            <w:r/>
            <w:r>
              <w:rPr>
                <w:rFonts w:ascii="Calibri" w:hAnsi="Calibri" w:cs="Calibri" w:eastAsia="Calibri"/>
                <w:b/>
                <w:i w:val="0"/>
                <w:color w:val="FFFFFF"/>
                <w:sz w:val="16"/>
                <w:szCs w:val="16"/>
                <w:bCs/>
              </w:rPr>
              <w:t>Plan ID</w:t>
            </w:r>
          </w:p>
        </w:tc>
        <w:tc>
          <w:tcPr>
            <w:tcW w:type="dxa" w:w="1169"/>
            <w:shd w:val="clear" w:color="auto" w:fill="1F3864"/>
          </w:tcPr>
          <w:p>
            <w:r/>
            <w:r>
              <w:rPr>
                <w:rFonts w:ascii="Calibri" w:hAnsi="Calibri" w:cs="Calibri" w:eastAsia="Calibri"/>
                <w:b/>
                <w:i w:val="0"/>
                <w:color w:val="FFFFFF"/>
                <w:sz w:val="16"/>
                <w:szCs w:val="16"/>
                <w:bCs/>
              </w:rPr>
              <w:t>Risk ID</w:t>
            </w:r>
          </w:p>
        </w:tc>
        <w:tc>
          <w:tcPr>
            <w:tcW w:type="dxa" w:w="1169"/>
            <w:shd w:val="clear" w:color="auto" w:fill="1F3864"/>
          </w:tcPr>
          <w:p>
            <w:r/>
            <w:r>
              <w:rPr>
                <w:rFonts w:ascii="Calibri" w:hAnsi="Calibri" w:cs="Calibri" w:eastAsia="Calibri"/>
                <w:b/>
                <w:i w:val="0"/>
                <w:color w:val="FFFFFF"/>
                <w:sz w:val="16"/>
                <w:szCs w:val="16"/>
                <w:bCs/>
              </w:rPr>
              <w:t>Action</w:t>
            </w:r>
          </w:p>
        </w:tc>
        <w:tc>
          <w:tcPr>
            <w:tcW w:type="dxa" w:w="1169"/>
            <w:shd w:val="clear" w:color="auto" w:fill="1F3864"/>
          </w:tcPr>
          <w:p>
            <w:r/>
            <w:r>
              <w:rPr>
                <w:rFonts w:ascii="Calibri" w:hAnsi="Calibri" w:cs="Calibri" w:eastAsia="Calibri"/>
                <w:b/>
                <w:i w:val="0"/>
                <w:color w:val="FFFFFF"/>
                <w:sz w:val="16"/>
                <w:szCs w:val="16"/>
                <w:bCs/>
              </w:rPr>
              <w:t>Owner</w:t>
            </w:r>
          </w:p>
        </w:tc>
        <w:tc>
          <w:tcPr>
            <w:tcW w:type="dxa" w:w="1169"/>
            <w:shd w:val="clear" w:color="auto" w:fill="1F3864"/>
          </w:tcPr>
          <w:p>
            <w:r/>
            <w:r>
              <w:rPr>
                <w:rFonts w:ascii="Calibri" w:hAnsi="Calibri" w:cs="Calibri" w:eastAsia="Calibri"/>
                <w:b/>
                <w:i w:val="0"/>
                <w:color w:val="FFFFFF"/>
                <w:sz w:val="16"/>
                <w:szCs w:val="16"/>
                <w:bCs/>
              </w:rPr>
              <w:t>Budget (THB)</w:t>
            </w:r>
          </w:p>
        </w:tc>
        <w:tc>
          <w:tcPr>
            <w:tcW w:type="dxa" w:w="1169"/>
            <w:shd w:val="clear" w:color="auto" w:fill="1F3864"/>
          </w:tcPr>
          <w:p>
            <w:r/>
            <w:r>
              <w:rPr>
                <w:rFonts w:ascii="Calibri" w:hAnsi="Calibri" w:cs="Calibri" w:eastAsia="Calibri"/>
                <w:b/>
                <w:i w:val="0"/>
                <w:color w:val="FFFFFF"/>
                <w:sz w:val="16"/>
                <w:szCs w:val="16"/>
                <w:bCs/>
              </w:rPr>
              <w:t>Due</w:t>
            </w:r>
          </w:p>
        </w:tc>
        <w:tc>
          <w:tcPr>
            <w:tcW w:type="dxa" w:w="1169"/>
            <w:shd w:val="clear" w:color="auto" w:fill="1F3864"/>
          </w:tcPr>
          <w:p>
            <w:r/>
            <w:r>
              <w:rPr>
                <w:rFonts w:ascii="Calibri" w:hAnsi="Calibri" w:cs="Calibri" w:eastAsia="Calibri"/>
                <w:b/>
                <w:i w:val="0"/>
                <w:color w:val="FFFFFF"/>
                <w:sz w:val="16"/>
                <w:szCs w:val="16"/>
                <w:bCs/>
              </w:rPr>
              <w:t>Target</w:t>
            </w:r>
          </w:p>
        </w:tc>
        <w:tc>
          <w:tcPr>
            <w:tcW w:type="dxa" w:w="1169"/>
            <w:shd w:val="clear" w:color="auto" w:fill="1F3864"/>
          </w:tcPr>
          <w:p>
            <w:r/>
            <w:r>
              <w:rPr>
                <w:rFonts w:ascii="Calibri" w:hAnsi="Calibri" w:cs="Calibri" w:eastAsia="Calibri"/>
                <w:b/>
                <w:i w:val="0"/>
                <w:color w:val="FFFFFF"/>
                <w:sz w:val="16"/>
                <w:szCs w:val="16"/>
                <w:bCs/>
              </w:rPr>
              <w:t>Status</w:t>
            </w:r>
          </w:p>
        </w:tc>
      </w:tr>
      <w:tr>
        <w:tc>
          <w:tcPr>
            <w:tcW w:type="dxa" w:w="1169"/>
          </w:tcPr>
          <w:p>
            <w:r/>
            <w:r>
              <w:rPr>
                <w:rFonts w:ascii="Calibri" w:hAnsi="Calibri" w:cs="Calibri" w:eastAsia="Calibri"/>
                <w:b w:val="0"/>
                <w:i w:val="0"/>
                <w:sz w:val="16"/>
                <w:szCs w:val="16"/>
              </w:rPr>
              <w:t>RTP-01</w:t>
            </w:r>
          </w:p>
        </w:tc>
        <w:tc>
          <w:tcPr>
            <w:tcW w:type="dxa" w:w="1169"/>
          </w:tcPr>
          <w:p>
            <w:r/>
            <w:r>
              <w:rPr>
                <w:rFonts w:ascii="Calibri" w:hAnsi="Calibri" w:cs="Calibri" w:eastAsia="Calibri"/>
                <w:b w:val="0"/>
                <w:i w:val="0"/>
                <w:sz w:val="16"/>
                <w:szCs w:val="16"/>
              </w:rPr>
              <w:t>R-001</w:t>
            </w:r>
          </w:p>
        </w:tc>
        <w:tc>
          <w:tcPr>
            <w:tcW w:type="dxa" w:w="1169"/>
          </w:tcPr>
          <w:p>
            <w:r/>
            <w:r>
              <w:rPr>
                <w:rFonts w:ascii="Calibri" w:hAnsi="Calibri" w:cs="Calibri" w:eastAsia="Calibri"/>
                <w:b w:val="0"/>
                <w:i w:val="0"/>
                <w:sz w:val="16"/>
                <w:szCs w:val="16"/>
              </w:rPr>
              <w:t>Privileged access management for domain and HIS admins; server zone segmentation</w:t>
            </w:r>
          </w:p>
        </w:tc>
        <w:tc>
          <w:tcPr>
            <w:tcW w:type="dxa" w:w="1169"/>
          </w:tcPr>
          <w:p>
            <w:r/>
            <w:r>
              <w:rPr>
                <w:rFonts w:ascii="Calibri" w:hAnsi="Calibri" w:cs="Calibri" w:eastAsia="Calibri"/>
                <w:b w:val="0"/>
                <w:i w:val="0"/>
                <w:sz w:val="16"/>
                <w:szCs w:val="16"/>
              </w:rPr>
              <w:t>IT Infrastructure Manager</w:t>
            </w:r>
          </w:p>
        </w:tc>
        <w:tc>
          <w:tcPr>
            <w:tcW w:type="dxa" w:w="1169"/>
          </w:tcPr>
          <w:p>
            <w:r/>
            <w:r>
              <w:rPr>
                <w:rFonts w:ascii="Calibri" w:hAnsi="Calibri" w:cs="Calibri" w:eastAsia="Calibri"/>
                <w:b w:val="0"/>
                <w:i w:val="0"/>
                <w:sz w:val="16"/>
                <w:szCs w:val="16"/>
              </w:rPr>
              <w:t>3,100,000</w:t>
            </w:r>
          </w:p>
        </w:tc>
        <w:tc>
          <w:tcPr>
            <w:tcW w:type="dxa" w:w="1169"/>
          </w:tcPr>
          <w:p>
            <w:r/>
            <w:r>
              <w:rPr>
                <w:rFonts w:ascii="Calibri" w:hAnsi="Calibri" w:cs="Calibri" w:eastAsia="Calibri"/>
                <w:b w:val="0"/>
                <w:i w:val="0"/>
                <w:sz w:val="16"/>
                <w:szCs w:val="16"/>
              </w:rPr>
              <w:t>06/2027</w:t>
            </w:r>
          </w:p>
        </w:tc>
        <w:tc>
          <w:tcPr>
            <w:tcW w:type="dxa" w:w="1169"/>
          </w:tcPr>
          <w:p>
            <w:r/>
            <w:r>
              <w:rPr>
                <w:rFonts w:ascii="Calibri" w:hAnsi="Calibri" w:cs="Calibri" w:eastAsia="Calibri"/>
                <w:b w:val="0"/>
                <w:i w:val="0"/>
                <w:sz w:val="16"/>
                <w:szCs w:val="16"/>
              </w:rPr>
              <w:t>8 Medium</w:t>
            </w:r>
          </w:p>
        </w:tc>
        <w:tc>
          <w:tcPr>
            <w:tcW w:type="dxa" w:w="1169"/>
          </w:tcPr>
          <w:p>
            <w:r/>
            <w:r>
              <w:rPr>
                <w:rFonts w:ascii="Calibri" w:hAnsi="Calibri" w:cs="Calibri" w:eastAsia="Calibri"/>
                <w:b w:val="0"/>
                <w:i w:val="0"/>
                <w:sz w:val="16"/>
                <w:szCs w:val="16"/>
              </w:rPr>
              <w:t>60%</w:t>
            </w:r>
          </w:p>
        </w:tc>
      </w:tr>
      <w:tr>
        <w:tc>
          <w:tcPr>
            <w:tcW w:type="dxa" w:w="1169"/>
          </w:tcPr>
          <w:p>
            <w:r/>
            <w:r>
              <w:rPr>
                <w:rFonts w:ascii="Calibri" w:hAnsi="Calibri" w:cs="Calibri" w:eastAsia="Calibri"/>
                <w:b w:val="0"/>
                <w:i w:val="0"/>
                <w:sz w:val="16"/>
                <w:szCs w:val="16"/>
              </w:rPr>
              <w:t>RTP-02</w:t>
            </w:r>
          </w:p>
        </w:tc>
        <w:tc>
          <w:tcPr>
            <w:tcW w:type="dxa" w:w="1169"/>
          </w:tcPr>
          <w:p>
            <w:r/>
            <w:r>
              <w:rPr>
                <w:rFonts w:ascii="Calibri" w:hAnsi="Calibri" w:cs="Calibri" w:eastAsia="Calibri"/>
                <w:b w:val="0"/>
                <w:i w:val="0"/>
                <w:sz w:val="16"/>
                <w:szCs w:val="16"/>
              </w:rPr>
              <w:t>R-002</w:t>
            </w:r>
          </w:p>
        </w:tc>
        <w:tc>
          <w:tcPr>
            <w:tcW w:type="dxa" w:w="1169"/>
          </w:tcPr>
          <w:p>
            <w:r/>
            <w:r>
              <w:rPr>
                <w:rFonts w:ascii="Calibri" w:hAnsi="Calibri" w:cs="Calibri" w:eastAsia="Calibri"/>
                <w:b w:val="0"/>
                <w:i w:val="0"/>
                <w:sz w:val="16"/>
                <w:szCs w:val="16"/>
              </w:rPr>
              <w:t>Badge tap plus PIN for shared clinical workstations; MFA for all HIS access</w:t>
            </w:r>
          </w:p>
        </w:tc>
        <w:tc>
          <w:tcPr>
            <w:tcW w:type="dxa" w:w="1169"/>
          </w:tcPr>
          <w:p>
            <w:r/>
            <w:r>
              <w:rPr>
                <w:rFonts w:ascii="Calibri" w:hAnsi="Calibri" w:cs="Calibri" w:eastAsia="Calibri"/>
                <w:b w:val="0"/>
                <w:i w:val="0"/>
                <w:sz w:val="16"/>
                <w:szCs w:val="16"/>
              </w:rPr>
              <w:t>CIO</w:t>
            </w:r>
          </w:p>
        </w:tc>
        <w:tc>
          <w:tcPr>
            <w:tcW w:type="dxa" w:w="1169"/>
          </w:tcPr>
          <w:p>
            <w:r/>
            <w:r>
              <w:rPr>
                <w:rFonts w:ascii="Calibri" w:hAnsi="Calibri" w:cs="Calibri" w:eastAsia="Calibri"/>
                <w:b w:val="0"/>
                <w:i w:val="0"/>
                <w:sz w:val="16"/>
                <w:szCs w:val="16"/>
              </w:rPr>
              <w:t>1,400,000</w:t>
            </w:r>
          </w:p>
        </w:tc>
        <w:tc>
          <w:tcPr>
            <w:tcW w:type="dxa" w:w="1169"/>
          </w:tcPr>
          <w:p>
            <w:r/>
            <w:r>
              <w:rPr>
                <w:rFonts w:ascii="Calibri" w:hAnsi="Calibri" w:cs="Calibri" w:eastAsia="Calibri"/>
                <w:b w:val="0"/>
                <w:i w:val="0"/>
                <w:sz w:val="16"/>
                <w:szCs w:val="16"/>
              </w:rPr>
              <w:t>03/2027</w:t>
            </w:r>
          </w:p>
        </w:tc>
        <w:tc>
          <w:tcPr>
            <w:tcW w:type="dxa" w:w="1169"/>
          </w:tcPr>
          <w:p>
            <w:r/>
            <w:r>
              <w:rPr>
                <w:rFonts w:ascii="Calibri" w:hAnsi="Calibri" w:cs="Calibri" w:eastAsia="Calibri"/>
                <w:b w:val="0"/>
                <w:i w:val="0"/>
                <w:sz w:val="16"/>
                <w:szCs w:val="16"/>
              </w:rPr>
              <w:t>8 Medium</w:t>
            </w:r>
          </w:p>
        </w:tc>
        <w:tc>
          <w:tcPr>
            <w:tcW w:type="dxa" w:w="1169"/>
          </w:tcPr>
          <w:p>
            <w:r/>
            <w:r>
              <w:rPr>
                <w:rFonts w:ascii="Calibri" w:hAnsi="Calibri" w:cs="Calibri" w:eastAsia="Calibri"/>
                <w:b w:val="0"/>
                <w:i w:val="0"/>
                <w:sz w:val="16"/>
                <w:szCs w:val="16"/>
              </w:rPr>
              <w:t>Pilot done</w:t>
            </w:r>
          </w:p>
        </w:tc>
      </w:tr>
      <w:tr>
        <w:tc>
          <w:tcPr>
            <w:tcW w:type="dxa" w:w="1169"/>
          </w:tcPr>
          <w:p>
            <w:r/>
            <w:r>
              <w:rPr>
                <w:rFonts w:ascii="Calibri" w:hAnsi="Calibri" w:cs="Calibri" w:eastAsia="Calibri"/>
                <w:b w:val="0"/>
                <w:i w:val="0"/>
                <w:sz w:val="16"/>
                <w:szCs w:val="16"/>
              </w:rPr>
              <w:t>RTP-03</w:t>
            </w:r>
          </w:p>
        </w:tc>
        <w:tc>
          <w:tcPr>
            <w:tcW w:type="dxa" w:w="1169"/>
          </w:tcPr>
          <w:p>
            <w:r/>
            <w:r>
              <w:rPr>
                <w:rFonts w:ascii="Calibri" w:hAnsi="Calibri" w:cs="Calibri" w:eastAsia="Calibri"/>
                <w:b w:val="0"/>
                <w:i w:val="0"/>
                <w:sz w:val="16"/>
                <w:szCs w:val="16"/>
              </w:rPr>
              <w:t>R-003</w:t>
            </w:r>
          </w:p>
        </w:tc>
        <w:tc>
          <w:tcPr>
            <w:tcW w:type="dxa" w:w="1169"/>
          </w:tcPr>
          <w:p>
            <w:r/>
            <w:r>
              <w:rPr>
                <w:rFonts w:ascii="Calibri" w:hAnsi="Calibri" w:cs="Calibri" w:eastAsia="Calibri"/>
                <w:b w:val="0"/>
                <w:i w:val="0"/>
                <w:sz w:val="16"/>
                <w:szCs w:val="16"/>
              </w:rPr>
              <w:t>All Tier 1 vendors through jump host with session recording</w:t>
            </w:r>
          </w:p>
        </w:tc>
        <w:tc>
          <w:tcPr>
            <w:tcW w:type="dxa" w:w="1169"/>
          </w:tcPr>
          <w:p>
            <w:r/>
            <w:r>
              <w:rPr>
                <w:rFonts w:ascii="Calibri" w:hAnsi="Calibri" w:cs="Calibri" w:eastAsia="Calibri"/>
                <w:b w:val="0"/>
                <w:i w:val="0"/>
                <w:sz w:val="16"/>
                <w:szCs w:val="16"/>
              </w:rPr>
              <w:t>Security Manager</w:t>
            </w:r>
          </w:p>
        </w:tc>
        <w:tc>
          <w:tcPr>
            <w:tcW w:type="dxa" w:w="1169"/>
          </w:tcPr>
          <w:p>
            <w:r/>
            <w:r>
              <w:rPr>
                <w:rFonts w:ascii="Calibri" w:hAnsi="Calibri" w:cs="Calibri" w:eastAsia="Calibri"/>
                <w:b w:val="0"/>
                <w:i w:val="0"/>
                <w:sz w:val="16"/>
                <w:szCs w:val="16"/>
              </w:rPr>
              <w:t>Within existing PAM</w:t>
            </w:r>
          </w:p>
        </w:tc>
        <w:tc>
          <w:tcPr>
            <w:tcW w:type="dxa" w:w="1169"/>
          </w:tcPr>
          <w:p>
            <w:r/>
            <w:r>
              <w:rPr>
                <w:rFonts w:ascii="Calibri" w:hAnsi="Calibri" w:cs="Calibri" w:eastAsia="Calibri"/>
                <w:b w:val="0"/>
                <w:i w:val="0"/>
                <w:sz w:val="16"/>
                <w:szCs w:val="16"/>
              </w:rPr>
              <w:t>12/2026</w:t>
            </w:r>
          </w:p>
        </w:tc>
        <w:tc>
          <w:tcPr>
            <w:tcW w:type="dxa" w:w="1169"/>
          </w:tcPr>
          <w:p>
            <w:r/>
            <w:r>
              <w:rPr>
                <w:rFonts w:ascii="Calibri" w:hAnsi="Calibri" w:cs="Calibri" w:eastAsia="Calibri"/>
                <w:b w:val="0"/>
                <w:i w:val="0"/>
                <w:sz w:val="16"/>
                <w:szCs w:val="16"/>
              </w:rPr>
              <w:t>8 Medium</w:t>
            </w:r>
          </w:p>
        </w:tc>
        <w:tc>
          <w:tcPr>
            <w:tcW w:type="dxa" w:w="1169"/>
          </w:tcPr>
          <w:p>
            <w:r/>
            <w:r>
              <w:rPr>
                <w:rFonts w:ascii="Calibri" w:hAnsi="Calibri" w:cs="Calibri" w:eastAsia="Calibri"/>
                <w:b w:val="0"/>
                <w:i w:val="0"/>
                <w:sz w:val="16"/>
                <w:szCs w:val="16"/>
              </w:rPr>
              <w:t>80%</w:t>
            </w:r>
          </w:p>
        </w:tc>
      </w:tr>
      <w:tr>
        <w:tc>
          <w:tcPr>
            <w:tcW w:type="dxa" w:w="1169"/>
          </w:tcPr>
          <w:p>
            <w:r/>
            <w:r>
              <w:rPr>
                <w:rFonts w:ascii="Calibri" w:hAnsi="Calibri" w:cs="Calibri" w:eastAsia="Calibri"/>
                <w:b w:val="0"/>
                <w:i w:val="0"/>
                <w:sz w:val="16"/>
                <w:szCs w:val="16"/>
              </w:rPr>
              <w:t>RTP-04</w:t>
            </w:r>
          </w:p>
        </w:tc>
        <w:tc>
          <w:tcPr>
            <w:tcW w:type="dxa" w:w="1169"/>
          </w:tcPr>
          <w:p>
            <w:r/>
            <w:r>
              <w:rPr>
                <w:rFonts w:ascii="Calibri" w:hAnsi="Calibri" w:cs="Calibri" w:eastAsia="Calibri"/>
                <w:b w:val="0"/>
                <w:i w:val="0"/>
                <w:sz w:val="16"/>
                <w:szCs w:val="16"/>
              </w:rPr>
              <w:t>R-007</w:t>
            </w:r>
          </w:p>
        </w:tc>
        <w:tc>
          <w:tcPr>
            <w:tcW w:type="dxa" w:w="1169"/>
          </w:tcPr>
          <w:p>
            <w:r/>
            <w:r>
              <w:rPr>
                <w:rFonts w:ascii="Calibri" w:hAnsi="Calibri" w:cs="Calibri" w:eastAsia="Calibri"/>
                <w:b w:val="0"/>
                <w:i w:val="0"/>
                <w:sz w:val="16"/>
                <w:szCs w:val="16"/>
              </w:rPr>
              <w:t>Medical device VLAN phase 2 (remaining wards)</w:t>
            </w:r>
          </w:p>
        </w:tc>
        <w:tc>
          <w:tcPr>
            <w:tcW w:type="dxa" w:w="1169"/>
          </w:tcPr>
          <w:p>
            <w:r/>
            <w:r>
              <w:rPr>
                <w:rFonts w:ascii="Calibri" w:hAnsi="Calibri" w:cs="Calibri" w:eastAsia="Calibri"/>
                <w:b w:val="0"/>
                <w:i w:val="0"/>
                <w:sz w:val="16"/>
                <w:szCs w:val="16"/>
              </w:rPr>
              <w:t>Facilities and Engineering Manager</w:t>
            </w:r>
          </w:p>
        </w:tc>
        <w:tc>
          <w:tcPr>
            <w:tcW w:type="dxa" w:w="1169"/>
          </w:tcPr>
          <w:p>
            <w:r/>
            <w:r>
              <w:rPr>
                <w:rFonts w:ascii="Calibri" w:hAnsi="Calibri" w:cs="Calibri" w:eastAsia="Calibri"/>
                <w:b w:val="0"/>
                <w:i w:val="0"/>
                <w:sz w:val="16"/>
                <w:szCs w:val="16"/>
              </w:rPr>
              <w:t>2,100,000 (2027 request)</w:t>
            </w:r>
          </w:p>
        </w:tc>
        <w:tc>
          <w:tcPr>
            <w:tcW w:type="dxa" w:w="1169"/>
          </w:tcPr>
          <w:p>
            <w:r/>
            <w:r>
              <w:rPr>
                <w:rFonts w:ascii="Calibri" w:hAnsi="Calibri" w:cs="Calibri" w:eastAsia="Calibri"/>
                <w:b w:val="0"/>
                <w:i w:val="0"/>
                <w:sz w:val="16"/>
                <w:szCs w:val="16"/>
              </w:rPr>
              <w:t>12/2027</w:t>
            </w:r>
          </w:p>
        </w:tc>
        <w:tc>
          <w:tcPr>
            <w:tcW w:type="dxa" w:w="1169"/>
          </w:tcPr>
          <w:p>
            <w:r/>
            <w:r>
              <w:rPr>
                <w:rFonts w:ascii="Calibri" w:hAnsi="Calibri" w:cs="Calibri" w:eastAsia="Calibri"/>
                <w:b w:val="0"/>
                <w:i w:val="0"/>
                <w:sz w:val="16"/>
                <w:szCs w:val="16"/>
              </w:rPr>
              <w:t>6 Medium</w:t>
            </w:r>
          </w:p>
        </w:tc>
        <w:tc>
          <w:tcPr>
            <w:tcW w:type="dxa" w:w="1169"/>
          </w:tcPr>
          <w:p>
            <w:r/>
            <w:r>
              <w:rPr>
                <w:rFonts w:ascii="Calibri" w:hAnsi="Calibri" w:cs="Calibri" w:eastAsia="Calibri"/>
                <w:b w:val="0"/>
                <w:i w:val="0"/>
                <w:sz w:val="16"/>
                <w:szCs w:val="16"/>
              </w:rPr>
              <w:t>Planned</w:t>
            </w:r>
          </w:p>
        </w:tc>
      </w:tr>
      <w:tr>
        <w:tc>
          <w:tcPr>
            <w:tcW w:type="dxa" w:w="1169"/>
          </w:tcPr>
          <w:p>
            <w:r/>
            <w:r>
              <w:rPr>
                <w:rFonts w:ascii="Calibri" w:hAnsi="Calibri" w:cs="Calibri" w:eastAsia="Calibri"/>
                <w:b w:val="0"/>
                <w:i w:val="0"/>
                <w:sz w:val="16"/>
                <w:szCs w:val="16"/>
              </w:rPr>
              <w:t>RTP-06</w:t>
            </w:r>
          </w:p>
        </w:tc>
        <w:tc>
          <w:tcPr>
            <w:tcW w:type="dxa" w:w="1169"/>
          </w:tcPr>
          <w:p>
            <w:r/>
            <w:r>
              <w:rPr>
                <w:rFonts w:ascii="Calibri" w:hAnsi="Calibri" w:cs="Calibri" w:eastAsia="Calibri"/>
                <w:b w:val="0"/>
                <w:i w:val="0"/>
                <w:sz w:val="16"/>
                <w:szCs w:val="16"/>
              </w:rPr>
              <w:t>R-011</w:t>
            </w:r>
          </w:p>
        </w:tc>
        <w:tc>
          <w:tcPr>
            <w:tcW w:type="dxa" w:w="1169"/>
          </w:tcPr>
          <w:p>
            <w:r/>
            <w:r>
              <w:rPr>
                <w:rFonts w:ascii="Calibri" w:hAnsi="Calibri" w:cs="Calibri" w:eastAsia="Calibri"/>
                <w:b w:val="0"/>
                <w:i w:val="0"/>
                <w:sz w:val="16"/>
                <w:szCs w:val="16"/>
              </w:rPr>
              <w:t>Data loss prevention for Microsoft 365</w:t>
            </w:r>
          </w:p>
        </w:tc>
        <w:tc>
          <w:tcPr>
            <w:tcW w:type="dxa" w:w="1169"/>
          </w:tcPr>
          <w:p>
            <w:r/>
            <w:r>
              <w:rPr>
                <w:rFonts w:ascii="Calibri" w:hAnsi="Calibri" w:cs="Calibri" w:eastAsia="Calibri"/>
                <w:b w:val="0"/>
                <w:i w:val="0"/>
                <w:sz w:val="16"/>
                <w:szCs w:val="16"/>
              </w:rPr>
              <w:t>DPO</w:t>
            </w:r>
          </w:p>
        </w:tc>
        <w:tc>
          <w:tcPr>
            <w:tcW w:type="dxa" w:w="1169"/>
          </w:tcPr>
          <w:p>
            <w:r/>
            <w:r>
              <w:rPr>
                <w:rFonts w:ascii="Calibri" w:hAnsi="Calibri" w:cs="Calibri" w:eastAsia="Calibri"/>
                <w:b w:val="0"/>
                <w:i w:val="0"/>
                <w:sz w:val="16"/>
                <w:szCs w:val="16"/>
              </w:rPr>
              <w:t>Deferred</w:t>
            </w:r>
          </w:p>
        </w:tc>
        <w:tc>
          <w:tcPr>
            <w:tcW w:type="dxa" w:w="1169"/>
          </w:tcPr>
          <w:p>
            <w:r/>
            <w:r>
              <w:rPr>
                <w:rFonts w:ascii="Calibri" w:hAnsi="Calibri" w:cs="Calibri" w:eastAsia="Calibri"/>
                <w:b w:val="0"/>
                <w:i w:val="0"/>
                <w:sz w:val="16"/>
                <w:szCs w:val="16"/>
              </w:rPr>
              <w:t>2027</w:t>
            </w:r>
          </w:p>
        </w:tc>
        <w:tc>
          <w:tcPr>
            <w:tcW w:type="dxa" w:w="1169"/>
          </w:tcPr>
          <w:p>
            <w:r/>
            <w:r>
              <w:rPr>
                <w:rFonts w:ascii="Calibri" w:hAnsi="Calibri" w:cs="Calibri" w:eastAsia="Calibri"/>
                <w:b w:val="0"/>
                <w:i w:val="0"/>
                <w:sz w:val="16"/>
                <w:szCs w:val="16"/>
              </w:rPr>
              <w:t>6 Medium</w:t>
            </w:r>
          </w:p>
        </w:tc>
        <w:tc>
          <w:tcPr>
            <w:tcW w:type="dxa" w:w="1169"/>
          </w:tcPr>
          <w:p>
            <w:r/>
            <w:r>
              <w:rPr>
                <w:rFonts w:ascii="Calibri" w:hAnsi="Calibri" w:cs="Calibri" w:eastAsia="Calibri"/>
                <w:b w:val="0"/>
                <w:i w:val="0"/>
                <w:sz w:val="16"/>
                <w:szCs w:val="16"/>
              </w:rPr>
              <w:t>Deferred</w:t>
            </w:r>
          </w:p>
        </w:tc>
      </w:tr>
    </w:tbl>
    <w:p>
      <w:pPr>
        <w:spacing w:after="40"/>
      </w:pPr>
    </w:p>
    <w:p>
      <w:pPr>
        <w:pStyle w:val="Heading2"/>
        <w:keepNext/>
        <w:spacing w:before="120" w:after="80"/>
      </w:pPr>
      <w:r>
        <w:rPr>
          <w:rFonts w:ascii="Calibri" w:hAnsi="Calibri" w:cs="Calibri" w:eastAsia="Calibri"/>
          <w:b/>
          <w:i w:val="0"/>
          <w:color w:val="1F3864"/>
          <w:sz w:val="24"/>
          <w:szCs w:val="24"/>
          <w:bCs/>
        </w:rPr>
        <w:t>4.4 Progress Reporting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how progress is reviewed and reported.</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Owners update status monthly. The Security Manager reports progress, delays, and changes in target dates to the Information Security Steering Committee (ISSC) each quarter. When an action is complete, the Security Manager re-rates the residual risk and updates ID-REG-005.</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Get risk owner approval of the plan and their acceptance of the remaining residual risk (ISO/IEC 27001:2022 Clause 6.1.3(f)).</w:t>
      </w:r>
    </w:p>
    <w:p>
      <w:pPr>
        <w:pStyle w:val="ListBullet"/>
        <w:spacing w:after="40"/>
      </w:pPr>
      <w:r>
        <w:rPr>
          <w:rFonts w:ascii="Calibri" w:hAnsi="Calibri" w:cs="Calibri" w:eastAsia="Calibri"/>
          <w:b w:val="0"/>
          <w:i w:val="0"/>
          <w:sz w:val="21"/>
          <w:szCs w:val="21"/>
        </w:rPr>
        <w:t>Break large actions into milestones with measurable completion criteria.</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Plans with no budget or owner, which never progress.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ID.RA-06: Risk responses are chosen, prioritized, planned, tracked, and communicated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6.1.3, Clause 8.3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PM-4, CA-5</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6.1.3(e) and 8.3</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ID-REG-005: IT and Cybersecurity Risk Register</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ID-PLN-001  |  Risk Treatment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