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Vulnerability Management Procedure</w:t>
      </w:r>
    </w:p>
    <w:p>
      <w:pPr>
        <w:spacing w:after="80" w:before="0"/>
      </w:pPr>
      <w:r>
        <w:rPr>
          <w:rFonts w:ascii="Calibri" w:hAnsi="Calibri" w:cs="Calibri" w:eastAsia="Calibri"/>
          <w:b w:val="0"/>
          <w:i w:val="0"/>
          <w:color w:val="595959"/>
          <w:sz w:val="18"/>
          <w:szCs w:val="18"/>
        </w:rPr>
        <w:t>ID-PRC-002  |  Procedure  |  Risk Assessment (ID.RA)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ID-PRC-002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Vulnerability Management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13 August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13 August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Risk Assessment (ID.RA)</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8.8</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Process</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16 September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13 August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describes how vulnerabilities are identified, validated, prioritized, assigned, remediated, verified, and reported (ID.RA-01, ID.RA-08).</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Process Steps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end-to-end process with roles and timing.</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680"/>
        <w:gridCol w:w="6407"/>
        <w:gridCol w:w="2268"/>
      </w:tblGrid>
      <w:tr>
        <w:trPr>
          <w:tblHeader w:val="true"/>
        </w:trPr>
        <w:tc>
          <w:tcPr>
            <w:tcW w:type="dxa" w:w="680"/>
            <w:shd w:val="clear" w:color="auto" w:fill="1F3864"/>
          </w:tcPr>
          <w:p>
            <w:r/>
            <w:r>
              <w:rPr>
                <w:rFonts w:ascii="Calibri" w:hAnsi="Calibri" w:cs="Calibri" w:eastAsia="Calibri"/>
                <w:b/>
                <w:i w:val="0"/>
                <w:color w:val="FFFFFF"/>
                <w:sz w:val="18"/>
                <w:szCs w:val="18"/>
                <w:bCs/>
              </w:rPr>
              <w:t>Step</w:t>
            </w:r>
          </w:p>
        </w:tc>
        <w:tc>
          <w:tcPr>
            <w:tcW w:type="dxa" w:w="6406"/>
            <w:shd w:val="clear" w:color="auto" w:fill="1F3864"/>
          </w:tcPr>
          <w:p>
            <w:r/>
            <w:r>
              <w:rPr>
                <w:rFonts w:ascii="Calibri" w:hAnsi="Calibri" w:cs="Calibri" w:eastAsia="Calibri"/>
                <w:b/>
                <w:i w:val="0"/>
                <w:color w:val="FFFFFF"/>
                <w:sz w:val="18"/>
                <w:szCs w:val="18"/>
                <w:bCs/>
              </w:rPr>
              <w:t>Activity</w:t>
            </w:r>
          </w:p>
        </w:tc>
        <w:tc>
          <w:tcPr>
            <w:tcW w:type="dxa" w:w="2268"/>
            <w:shd w:val="clear" w:color="auto" w:fill="1F3864"/>
          </w:tcPr>
          <w:p>
            <w:r/>
            <w:r>
              <w:rPr>
                <w:rFonts w:ascii="Calibri" w:hAnsi="Calibri" w:cs="Calibri" w:eastAsia="Calibri"/>
                <w:b/>
                <w:i w:val="0"/>
                <w:color w:val="FFFFFF"/>
                <w:sz w:val="18"/>
                <w:szCs w:val="18"/>
                <w:bCs/>
              </w:rPr>
              <w:t>Actor</w:t>
            </w:r>
          </w:p>
        </w:tc>
      </w:tr>
      <w:tr>
        <w:tc>
          <w:tcPr>
            <w:tcW w:type="dxa" w:w="680"/>
          </w:tcPr>
          <w:p>
            <w:r/>
            <w:r>
              <w:rPr>
                <w:rFonts w:ascii="Calibri" w:hAnsi="Calibri" w:cs="Calibri" w:eastAsia="Calibri"/>
                <w:b w:val="0"/>
                <w:i w:val="0"/>
                <w:sz w:val="18"/>
                <w:szCs w:val="18"/>
              </w:rPr>
              <w:t>1</w:t>
            </w:r>
          </w:p>
        </w:tc>
        <w:tc>
          <w:tcPr>
            <w:tcW w:type="dxa" w:w="6406"/>
          </w:tcPr>
          <w:p>
            <w:r/>
            <w:r>
              <w:rPr>
                <w:rFonts w:ascii="Calibri" w:hAnsi="Calibri" w:cs="Calibri" w:eastAsia="Calibri"/>
                <w:b w:val="0"/>
                <w:i w:val="0"/>
                <w:sz w:val="18"/>
                <w:szCs w:val="18"/>
              </w:rPr>
              <w:t>Collect findings from scans, penetration tests, vendor advisories, threat intelligence, and external reports</w:t>
            </w:r>
          </w:p>
        </w:tc>
        <w:tc>
          <w:tcPr>
            <w:tcW w:type="dxa" w:w="2268"/>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2</w:t>
            </w:r>
          </w:p>
        </w:tc>
        <w:tc>
          <w:tcPr>
            <w:tcW w:type="dxa" w:w="6406"/>
          </w:tcPr>
          <w:p>
            <w:r/>
            <w:r>
              <w:rPr>
                <w:rFonts w:ascii="Calibri" w:hAnsi="Calibri" w:cs="Calibri" w:eastAsia="Calibri"/>
                <w:b w:val="0"/>
                <w:i w:val="0"/>
                <w:sz w:val="18"/>
                <w:szCs w:val="18"/>
              </w:rPr>
              <w:t>Validate and remove false positives; map to assets and owners</w:t>
            </w:r>
          </w:p>
        </w:tc>
        <w:tc>
          <w:tcPr>
            <w:tcW w:type="dxa" w:w="2268"/>
          </w:tcPr>
          <w:p>
            <w:r/>
            <w:r>
              <w:rPr>
                <w:rFonts w:ascii="Calibri" w:hAnsi="Calibri" w:cs="Calibri" w:eastAsia="Calibri"/>
                <w:b w:val="0"/>
                <w:i w:val="0"/>
                <w:sz w:val="18"/>
                <w:szCs w:val="18"/>
              </w:rPr>
              <w:t>Security engineer</w:t>
            </w:r>
          </w:p>
        </w:tc>
      </w:tr>
      <w:tr>
        <w:tc>
          <w:tcPr>
            <w:tcW w:type="dxa" w:w="680"/>
          </w:tcPr>
          <w:p>
            <w:r/>
            <w:r>
              <w:rPr>
                <w:rFonts w:ascii="Calibri" w:hAnsi="Calibri" w:cs="Calibri" w:eastAsia="Calibri"/>
                <w:b w:val="0"/>
                <w:i w:val="0"/>
                <w:sz w:val="18"/>
                <w:szCs w:val="18"/>
              </w:rPr>
              <w:t>3</w:t>
            </w:r>
          </w:p>
        </w:tc>
        <w:tc>
          <w:tcPr>
            <w:tcW w:type="dxa" w:w="6406"/>
          </w:tcPr>
          <w:p>
            <w:r/>
            <w:r>
              <w:rPr>
                <w:rFonts w:ascii="Calibri" w:hAnsi="Calibri" w:cs="Calibri" w:eastAsia="Calibri"/>
                <w:b w:val="0"/>
                <w:i w:val="0"/>
                <w:sz w:val="18"/>
                <w:szCs w:val="18"/>
              </w:rPr>
              <w:t>Prioritize using ID-STD-002 timelines, exploitability, and asset criticality</w:t>
            </w:r>
          </w:p>
        </w:tc>
        <w:tc>
          <w:tcPr>
            <w:tcW w:type="dxa" w:w="2268"/>
          </w:tcPr>
          <w:p>
            <w:r/>
            <w:r>
              <w:rPr>
                <w:rFonts w:ascii="Calibri" w:hAnsi="Calibri" w:cs="Calibri" w:eastAsia="Calibri"/>
                <w:b w:val="0"/>
                <w:i w:val="0"/>
                <w:sz w:val="18"/>
                <w:szCs w:val="18"/>
              </w:rPr>
              <w:t>Security engineer</w:t>
            </w:r>
          </w:p>
        </w:tc>
      </w:tr>
      <w:tr>
        <w:tc>
          <w:tcPr>
            <w:tcW w:type="dxa" w:w="680"/>
          </w:tcPr>
          <w:p>
            <w:r/>
            <w:r>
              <w:rPr>
                <w:rFonts w:ascii="Calibri" w:hAnsi="Calibri" w:cs="Calibri" w:eastAsia="Calibri"/>
                <w:b w:val="0"/>
                <w:i w:val="0"/>
                <w:sz w:val="18"/>
                <w:szCs w:val="18"/>
              </w:rPr>
              <w:t>4</w:t>
            </w:r>
          </w:p>
        </w:tc>
        <w:tc>
          <w:tcPr>
            <w:tcW w:type="dxa" w:w="6406"/>
          </w:tcPr>
          <w:p>
            <w:r/>
            <w:r>
              <w:rPr>
                <w:rFonts w:ascii="Calibri" w:hAnsi="Calibri" w:cs="Calibri" w:eastAsia="Calibri"/>
                <w:b w:val="0"/>
                <w:i w:val="0"/>
                <w:sz w:val="18"/>
                <w:szCs w:val="18"/>
              </w:rPr>
              <w:t>Assign tickets to system owners and record in ID-REG-006</w:t>
            </w:r>
          </w:p>
        </w:tc>
        <w:tc>
          <w:tcPr>
            <w:tcW w:type="dxa" w:w="2268"/>
          </w:tcPr>
          <w:p>
            <w:r/>
            <w:r>
              <w:rPr>
                <w:rFonts w:ascii="Calibri" w:hAnsi="Calibri" w:cs="Calibri" w:eastAsia="Calibri"/>
                <w:b w:val="0"/>
                <w:i w:val="0"/>
                <w:sz w:val="18"/>
                <w:szCs w:val="18"/>
              </w:rPr>
              <w:t>Security engineer</w:t>
            </w:r>
          </w:p>
        </w:tc>
      </w:tr>
      <w:tr>
        <w:tc>
          <w:tcPr>
            <w:tcW w:type="dxa" w:w="680"/>
          </w:tcPr>
          <w:p>
            <w:r/>
            <w:r>
              <w:rPr>
                <w:rFonts w:ascii="Calibri" w:hAnsi="Calibri" w:cs="Calibri" w:eastAsia="Calibri"/>
                <w:b w:val="0"/>
                <w:i w:val="0"/>
                <w:sz w:val="18"/>
                <w:szCs w:val="18"/>
              </w:rPr>
              <w:t>5</w:t>
            </w:r>
          </w:p>
        </w:tc>
        <w:tc>
          <w:tcPr>
            <w:tcW w:type="dxa" w:w="6406"/>
          </w:tcPr>
          <w:p>
            <w:r/>
            <w:r>
              <w:rPr>
                <w:rFonts w:ascii="Calibri" w:hAnsi="Calibri" w:cs="Calibri" w:eastAsia="Calibri"/>
                <w:b w:val="0"/>
                <w:i w:val="0"/>
                <w:sz w:val="18"/>
                <w:szCs w:val="18"/>
              </w:rPr>
              <w:t>Remediate through patching (PR-PRC-007) or configuration change (PR-PRC-006)</w:t>
            </w:r>
          </w:p>
        </w:tc>
        <w:tc>
          <w:tcPr>
            <w:tcW w:type="dxa" w:w="2268"/>
          </w:tcPr>
          <w:p>
            <w:r/>
            <w:r>
              <w:rPr>
                <w:rFonts w:ascii="Calibri" w:hAnsi="Calibri" w:cs="Calibri" w:eastAsia="Calibri"/>
                <w:b w:val="0"/>
                <w:i w:val="0"/>
                <w:sz w:val="18"/>
                <w:szCs w:val="18"/>
              </w:rPr>
              <w:t>System owner, IT Infrastructure Manager</w:t>
            </w:r>
          </w:p>
        </w:tc>
      </w:tr>
      <w:tr>
        <w:tc>
          <w:tcPr>
            <w:tcW w:type="dxa" w:w="680"/>
          </w:tcPr>
          <w:p>
            <w:r/>
            <w:r>
              <w:rPr>
                <w:rFonts w:ascii="Calibri" w:hAnsi="Calibri" w:cs="Calibri" w:eastAsia="Calibri"/>
                <w:b w:val="0"/>
                <w:i w:val="0"/>
                <w:sz w:val="18"/>
                <w:szCs w:val="18"/>
              </w:rPr>
              <w:t>6</w:t>
            </w:r>
          </w:p>
        </w:tc>
        <w:tc>
          <w:tcPr>
            <w:tcW w:type="dxa" w:w="6406"/>
          </w:tcPr>
          <w:p>
            <w:r/>
            <w:r>
              <w:rPr>
                <w:rFonts w:ascii="Calibri" w:hAnsi="Calibri" w:cs="Calibri" w:eastAsia="Calibri"/>
                <w:b w:val="0"/>
                <w:i w:val="0"/>
                <w:sz w:val="18"/>
                <w:szCs w:val="18"/>
              </w:rPr>
              <w:t>Rescan to verify closure</w:t>
            </w:r>
          </w:p>
        </w:tc>
        <w:tc>
          <w:tcPr>
            <w:tcW w:type="dxa" w:w="2268"/>
          </w:tcPr>
          <w:p>
            <w:r/>
            <w:r>
              <w:rPr>
                <w:rFonts w:ascii="Calibri" w:hAnsi="Calibri" w:cs="Calibri" w:eastAsia="Calibri"/>
                <w:b w:val="0"/>
                <w:i w:val="0"/>
                <w:sz w:val="18"/>
                <w:szCs w:val="18"/>
              </w:rPr>
              <w:t>Security engineer</w:t>
            </w:r>
          </w:p>
        </w:tc>
      </w:tr>
      <w:tr>
        <w:tc>
          <w:tcPr>
            <w:tcW w:type="dxa" w:w="680"/>
          </w:tcPr>
          <w:p>
            <w:r/>
            <w:r>
              <w:rPr>
                <w:rFonts w:ascii="Calibri" w:hAnsi="Calibri" w:cs="Calibri" w:eastAsia="Calibri"/>
                <w:b w:val="0"/>
                <w:i w:val="0"/>
                <w:sz w:val="18"/>
                <w:szCs w:val="18"/>
              </w:rPr>
              <w:t>7</w:t>
            </w:r>
          </w:p>
        </w:tc>
        <w:tc>
          <w:tcPr>
            <w:tcW w:type="dxa" w:w="6406"/>
          </w:tcPr>
          <w:p>
            <w:r/>
            <w:r>
              <w:rPr>
                <w:rFonts w:ascii="Calibri" w:hAnsi="Calibri" w:cs="Calibri" w:eastAsia="Calibri"/>
                <w:b w:val="0"/>
                <w:i w:val="0"/>
                <w:sz w:val="18"/>
                <w:szCs w:val="18"/>
              </w:rPr>
              <w:t>Escalate overdue items; request exception where needed</w:t>
            </w:r>
          </w:p>
        </w:tc>
        <w:tc>
          <w:tcPr>
            <w:tcW w:type="dxa" w:w="2268"/>
          </w:tcPr>
          <w:p>
            <w:r/>
            <w:r>
              <w:rPr>
                <w:rFonts w:ascii="Calibri" w:hAnsi="Calibri" w:cs="Calibri" w:eastAsia="Calibri"/>
                <w:b w:val="0"/>
                <w:i w:val="0"/>
                <w:sz w:val="18"/>
                <w:szCs w:val="18"/>
              </w:rPr>
              <w:t>Security Manager</w:t>
            </w:r>
          </w:p>
        </w:tc>
      </w:tr>
      <w:tr>
        <w:tc>
          <w:tcPr>
            <w:tcW w:type="dxa" w:w="680"/>
          </w:tcPr>
          <w:p>
            <w:r/>
            <w:r>
              <w:rPr>
                <w:rFonts w:ascii="Calibri" w:hAnsi="Calibri" w:cs="Calibri" w:eastAsia="Calibri"/>
                <w:b w:val="0"/>
                <w:i w:val="0"/>
                <w:sz w:val="18"/>
                <w:szCs w:val="18"/>
              </w:rPr>
              <w:t>8</w:t>
            </w:r>
          </w:p>
        </w:tc>
        <w:tc>
          <w:tcPr>
            <w:tcW w:type="dxa" w:w="6406"/>
          </w:tcPr>
          <w:p>
            <w:r/>
            <w:r>
              <w:rPr>
                <w:rFonts w:ascii="Calibri" w:hAnsi="Calibri" w:cs="Calibri" w:eastAsia="Calibri"/>
                <w:b w:val="0"/>
                <w:i w:val="0"/>
                <w:sz w:val="18"/>
                <w:szCs w:val="18"/>
              </w:rPr>
              <w:t>Report KPIs monthly</w:t>
            </w:r>
          </w:p>
        </w:tc>
        <w:tc>
          <w:tcPr>
            <w:tcW w:type="dxa" w:w="2268"/>
          </w:tcPr>
          <w:p>
            <w:r/>
            <w:r>
              <w:rPr>
                <w:rFonts w:ascii="Calibri" w:hAnsi="Calibri" w:cs="Calibri" w:eastAsia="Calibri"/>
                <w:b w:val="0"/>
                <w:i w:val="0"/>
                <w:sz w:val="18"/>
                <w:szCs w:val="18"/>
              </w:rPr>
              <w:t>Security Manager</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ID-REG-006: Vulnerability Remediation Tracker</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Subscribe to ThaiCERT advisories and vendor security bulletins for all critical products.</w:t>
      </w:r>
    </w:p>
    <w:p>
      <w:pPr>
        <w:pStyle w:val="ListBullet"/>
        <w:spacing w:after="40"/>
      </w:pPr>
      <w:r>
        <w:rPr>
          <w:rFonts w:ascii="Calibri" w:hAnsi="Calibri" w:cs="Calibri" w:eastAsia="Calibri"/>
          <w:b w:val="0"/>
          <w:i w:val="0"/>
          <w:sz w:val="21"/>
          <w:szCs w:val="21"/>
        </w:rPr>
        <w:t>Hold a monthly vulnerability review with infrastructure and application owners.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Closing tickets without rescanning, so unfixed vulnerabilities are reported as closed.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ID.RA-01: Vulnerabilities in assets are identified, validated, and recorded</w:t>
            </w:r>
          </w:p>
          <w:p>
            <w:r>
              <w:rPr>
                <w:rFonts w:ascii="Calibri" w:hAnsi="Calibri" w:cs="Calibri" w:eastAsia="Calibri"/>
                <w:b w:val="0"/>
                <w:i w:val="0"/>
                <w:sz w:val="18"/>
                <w:szCs w:val="18"/>
              </w:rPr>
              <w:t>ID.RA-08: Processes for receiving, analyzing, and responding to vulnerability disclosures are established</w:t>
            </w:r>
          </w:p>
          <w:p>
            <w:r>
              <w:rPr>
                <w:rFonts w:ascii="Calibri" w:hAnsi="Calibri" w:cs="Calibri" w:eastAsia="Calibri"/>
                <w:b w:val="0"/>
                <w:i w:val="0"/>
                <w:sz w:val="18"/>
                <w:szCs w:val="18"/>
              </w:rPr>
              <w:t>PR.PS-02: Software is maintained, replaced, and removed commensurate with risk</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A.8.8</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RA-5, SI-2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8.8</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ID-STD-002: Vulnerability Scanning and Remediation Standard</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ID-REG-006: Vulnerability Remediation Tracker</w:t>
            </w:r>
          </w:p>
          <w:p>
            <w:r>
              <w:rPr>
                <w:rFonts w:ascii="Calibri" w:hAnsi="Calibri" w:cs="Calibri" w:eastAsia="Calibri"/>
                <w:b w:val="0"/>
                <w:i w:val="0"/>
                <w:sz w:val="18"/>
                <w:szCs w:val="18"/>
              </w:rPr>
              <w:t>ID-PRC-005: Vulnerability Disclosure Handling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ID-PRC-002  |  Vulnerability Management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