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Penetration Testing Procedure</w:t>
      </w:r>
    </w:p>
    <w:p>
      <w:pPr>
        <w:spacing w:after="80" w:before="0"/>
      </w:pPr>
      <w:r>
        <w:rPr>
          <w:rFonts w:ascii="Calibri" w:hAnsi="Calibri" w:cs="Calibri" w:eastAsia="Calibri"/>
          <w:b w:val="0"/>
          <w:i w:val="0"/>
          <w:color w:val="595959"/>
          <w:sz w:val="18"/>
          <w:szCs w:val="18"/>
        </w:rPr>
        <w:t>ID-PRC-003  |  Procedure  |  Risk Assessment (ID.RA)</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ID-PRC-003</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Penetration Testing Procedure</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8 July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8 July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Procedure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Identify (ID)</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Risk Assessment (ID.RA)</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8.8 and 8.29; CIS Controls v8.1 Control 18</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Technological (A.8); tags: Technology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3 May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8 July 2026</w:t>
            </w:r>
          </w:p>
        </w:tc>
        <w:tc>
          <w:tcPr>
            <w:tcW w:type="dxa" w:w="3742"/>
          </w:tcPr>
          <w:p>
            <w:r/>
            <w:r>
              <w:rPr>
                <w:rFonts w:ascii="Calibri" w:hAnsi="Calibri" w:cs="Calibri" w:eastAsia="Calibri"/>
                <w:b w:val="0"/>
                <w:i w:val="0"/>
                <w:sz w:val="18"/>
                <w:szCs w:val="18"/>
              </w:rPr>
              <w:t>Updated after the November 2025 internal audit (IA-2025-04) to close findings on asset and risk records.</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governs how penetration tests are planned, authorized, performed, reported, and followed up, so that testing is safe, legal, and effective (ID.RA-01, ID.IM-02).</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Testing Requirements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Set frequency, scope, and tester requirements.</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Test internet-facing systems and critical internal systems at least once a year and after major changes.</w:t>
      </w:r>
    </w:p>
    <w:p>
      <w:pPr>
        <w:pStyle w:val="ListBullet"/>
        <w:spacing w:after="40"/>
      </w:pPr>
      <w:r>
        <w:rPr>
          <w:rFonts w:ascii="Calibri" w:hAnsi="Calibri" w:cs="Calibri" w:eastAsia="Calibri"/>
          <w:b w:val="0"/>
          <w:i w:val="0"/>
          <w:sz w:val="21"/>
          <w:szCs w:val="21"/>
        </w:rPr>
        <w:t>Use qualified testers (for example, OSCP, GPEN, CREST) independent of the team that built the system.</w:t>
      </w:r>
    </w:p>
    <w:p>
      <w:pPr>
        <w:pStyle w:val="ListBullet"/>
        <w:spacing w:after="40"/>
      </w:pPr>
      <w:r>
        <w:rPr>
          <w:rFonts w:ascii="Calibri" w:hAnsi="Calibri" w:cs="Calibri" w:eastAsia="Calibri"/>
          <w:b w:val="0"/>
          <w:i w:val="0"/>
          <w:sz w:val="21"/>
          <w:szCs w:val="21"/>
        </w:rPr>
        <w:t>Use a recognized methodology such as OWASP Web Security Testing Guide, PTES, or NIST SP 800-115.</w:t>
      </w:r>
    </w:p>
    <w:p>
      <w:pPr>
        <w:pStyle w:val="ListBullet"/>
        <w:spacing w:after="40"/>
      </w:pPr>
      <w:r>
        <w:rPr>
          <w:rFonts w:ascii="Calibri" w:hAnsi="Calibri" w:cs="Calibri" w:eastAsia="Calibri"/>
          <w:b w:val="0"/>
          <w:i w:val="0"/>
          <w:sz w:val="21"/>
          <w:szCs w:val="21"/>
        </w:rPr>
        <w:t>Sign the authorization and rules of engagement (ID-FRM-002) before testing.</w:t>
      </w:r>
    </w:p>
    <w:p>
      <w:pPr>
        <w:pStyle w:val="Heading2"/>
        <w:keepNext/>
        <w:spacing w:before="120" w:after="80"/>
      </w:pPr>
      <w:r>
        <w:rPr>
          <w:rFonts w:ascii="Calibri" w:hAnsi="Calibri" w:cs="Calibri" w:eastAsia="Calibri"/>
          <w:b/>
          <w:i w:val="0"/>
          <w:color w:val="1F3864"/>
          <w:sz w:val="24"/>
          <w:szCs w:val="24"/>
          <w:bCs/>
        </w:rPr>
        <w:t>4.4 Process Steps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Describe steps from scoping to retest.</w:t>
            </w:r>
          </w:p>
        </w:tc>
      </w:tr>
    </w:tbl>
    <w:p>
      <w:pPr>
        <w:spacing w:after="0"/>
      </w:pPr>
    </w:p>
    <w:p>
      <w:pPr>
        <w:spacing w:after="40" w:before="0"/>
      </w:pPr>
      <w:r>
        <w:rPr>
          <w:rFonts w:ascii="Calibri" w:hAnsi="Calibri" w:cs="Calibri" w:eastAsia="Calibri"/>
          <w:b w:val="0"/>
          <w:i/>
          <w:color w:val="595959"/>
          <w:sz w:val="18"/>
          <w:szCs w:val="18"/>
        </w:rPr>
        <w:t>Sample content</w:t>
      </w:r>
    </w:p>
    <w:p>
      <w:pPr>
        <w:pStyle w:val="ListNumber"/>
        <w:spacing w:after="40"/>
      </w:pPr>
      <w:r>
        <w:rPr>
          <w:rFonts w:ascii="Calibri" w:hAnsi="Calibri" w:cs="Calibri" w:eastAsia="Calibri"/>
          <w:b w:val="0"/>
          <w:i w:val="0"/>
          <w:sz w:val="21"/>
          <w:szCs w:val="21"/>
        </w:rPr>
        <w:t>Define scope, objectives, and test type (black, grey, or white box).</w:t>
      </w:r>
    </w:p>
    <w:p>
      <w:pPr>
        <w:pStyle w:val="ListNumber"/>
        <w:spacing w:after="40"/>
      </w:pPr>
      <w:r>
        <w:rPr>
          <w:rFonts w:ascii="Calibri" w:hAnsi="Calibri" w:cs="Calibri" w:eastAsia="Calibri"/>
          <w:b w:val="0"/>
          <w:i w:val="0"/>
          <w:sz w:val="21"/>
          <w:szCs w:val="21"/>
        </w:rPr>
        <w:t>Sign authorization and rules of engagement; notify the SOC and system owners.</w:t>
      </w:r>
    </w:p>
    <w:p>
      <w:pPr>
        <w:pStyle w:val="ListNumber"/>
        <w:spacing w:after="40"/>
      </w:pPr>
      <w:r>
        <w:rPr>
          <w:rFonts w:ascii="Calibri" w:hAnsi="Calibri" w:cs="Calibri" w:eastAsia="Calibri"/>
          <w:b w:val="0"/>
          <w:i w:val="0"/>
          <w:sz w:val="21"/>
          <w:szCs w:val="21"/>
        </w:rPr>
        <w:t>Perform testing within the agreed window; stop and escalate if a critical issue or service impact occurs.</w:t>
      </w:r>
    </w:p>
    <w:p>
      <w:pPr>
        <w:pStyle w:val="ListNumber"/>
        <w:spacing w:after="40"/>
      </w:pPr>
      <w:r>
        <w:rPr>
          <w:rFonts w:ascii="Calibri" w:hAnsi="Calibri" w:cs="Calibri" w:eastAsia="Calibri"/>
          <w:b w:val="0"/>
          <w:i w:val="0"/>
          <w:sz w:val="21"/>
          <w:szCs w:val="21"/>
        </w:rPr>
        <w:t>Receive the report with findings, evidence, risk ratings, and recommendations.</w:t>
      </w:r>
    </w:p>
    <w:p>
      <w:pPr>
        <w:pStyle w:val="ListNumber"/>
        <w:spacing w:after="40"/>
      </w:pPr>
      <w:r>
        <w:rPr>
          <w:rFonts w:ascii="Calibri" w:hAnsi="Calibri" w:cs="Calibri" w:eastAsia="Calibri"/>
          <w:b w:val="0"/>
          <w:i w:val="0"/>
          <w:sz w:val="21"/>
          <w:szCs w:val="21"/>
        </w:rPr>
        <w:t>Record findings in ID-REG-006 and remediate per ID-STD-002.</w:t>
      </w:r>
    </w:p>
    <w:p>
      <w:pPr>
        <w:pStyle w:val="ListNumber"/>
        <w:spacing w:after="40"/>
      </w:pPr>
      <w:r>
        <w:rPr>
          <w:rFonts w:ascii="Calibri" w:hAnsi="Calibri" w:cs="Calibri" w:eastAsia="Calibri"/>
          <w:b w:val="0"/>
          <w:i w:val="0"/>
          <w:sz w:val="21"/>
          <w:szCs w:val="21"/>
        </w:rPr>
        <w:t>Retest to confirm closure.</w:t>
      </w:r>
    </w:p>
    <w:p>
      <w:pPr>
        <w:pStyle w:val="Heading2"/>
        <w:keepNext/>
        <w:spacing w:before="120" w:after="80"/>
      </w:pPr>
      <w:r>
        <w:rPr>
          <w:rFonts w:ascii="Calibri" w:hAnsi="Calibri" w:cs="Calibri" w:eastAsia="Calibri"/>
          <w:b/>
          <w:i w:val="0"/>
          <w:color w:val="1F3864"/>
          <w:sz w:val="24"/>
          <w:szCs w:val="24"/>
          <w:bCs/>
        </w:rPr>
        <w:t>4.5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ID-FRM-002: Penetration Test Authorization and Rules of Engagement</w:t>
      </w:r>
    </w:p>
    <w:p>
      <w:pPr>
        <w:pStyle w:val="ListBullet"/>
        <w:spacing w:after="40"/>
      </w:pPr>
      <w:r>
        <w:rPr>
          <w:rFonts w:ascii="Calibri" w:hAnsi="Calibri" w:cs="Calibri" w:eastAsia="Calibri"/>
          <w:b w:val="0"/>
          <w:i w:val="0"/>
          <w:sz w:val="21"/>
          <w:szCs w:val="21"/>
        </w:rPr>
        <w:t>Records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Rotate testing providers every two to three years for a fresh view.</w:t>
      </w:r>
    </w:p>
    <w:p>
      <w:pPr>
        <w:pStyle w:val="ListBullet"/>
        <w:spacing w:after="40"/>
      </w:pPr>
      <w:r>
        <w:rPr>
          <w:rFonts w:ascii="Calibri" w:hAnsi="Calibri" w:cs="Calibri" w:eastAsia="Calibri"/>
          <w:b w:val="0"/>
          <w:i w:val="0"/>
          <w:sz w:val="21"/>
          <w:szCs w:val="21"/>
        </w:rPr>
        <w:t>Include an assumed-breach internal test, not only external tests, to measure ransomware resilience.</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Testing production clinical systems during peak hours without a stop procedure.</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ID.RA-01: Vulnerabilities in assets are identified, validated, and recorded</w:t>
            </w:r>
          </w:p>
          <w:p>
            <w:r>
              <w:rPr>
                <w:rFonts w:ascii="Calibri" w:hAnsi="Calibri" w:cs="Calibri" w:eastAsia="Calibri"/>
                <w:b w:val="0"/>
                <w:i w:val="0"/>
                <w:sz w:val="18"/>
                <w:szCs w:val="18"/>
              </w:rPr>
              <w:t>ID.IM-02: Improvements are identified from security tests and exercises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A.8.8, Annex A.8.29</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CA-8</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8.8 and 8.29; CIS Controls v8.1 Control 18</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ID-STD-002: Vulnerability Scanning and Remediation Standard</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ID-FRM-002: Penetration Test Authorization and Rules of Engagement</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ID-PRC-003  |  Penetration Testing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