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Threat Intelligence Procedure</w:t>
      </w:r>
    </w:p>
    <w:p>
      <w:pPr>
        <w:spacing w:after="80" w:before="0"/>
      </w:pPr>
      <w:r>
        <w:rPr>
          <w:rFonts w:ascii="Calibri" w:hAnsi="Calibri" w:cs="Calibri" w:eastAsia="Calibri"/>
          <w:b w:val="0"/>
          <w:i w:val="0"/>
          <w:color w:val="595959"/>
          <w:sz w:val="18"/>
          <w:szCs w:val="18"/>
        </w:rPr>
        <w:t>ID-PRC-004  |  Procedure  |  Risk Assessment (ID.RA)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ID-PRC-004</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Threat Intelligence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3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3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Assessment (ID.RA)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5.7</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17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3 June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how cyber threat intelligence is collected, assessed, shared, and used to inform risk assessment, detection, and vulnerability prioritization (ID.RA-02, ID.RA-03).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Sources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intelligence sources by type.</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ThaiCERT and NCSA advisories; the hospital CII information-sharing group.</w:t>
      </w:r>
    </w:p>
    <w:p>
      <w:pPr>
        <w:pStyle w:val="ListBullet"/>
        <w:spacing w:after="40"/>
      </w:pPr>
      <w:r>
        <w:rPr>
          <w:rFonts w:ascii="Calibri" w:hAnsi="Calibri" w:cs="Calibri" w:eastAsia="Calibri"/>
          <w:b w:val="0"/>
          <w:i w:val="0"/>
          <w:sz w:val="21"/>
          <w:szCs w:val="21"/>
        </w:rPr>
        <w:t>Vendor bulletins for HIS, PACS, LIS, Microsoft, and network equipment.</w:t>
      </w:r>
    </w:p>
    <w:p>
      <w:pPr>
        <w:pStyle w:val="ListBullet"/>
        <w:spacing w:after="40"/>
      </w:pPr>
      <w:r>
        <w:rPr>
          <w:rFonts w:ascii="Calibri" w:hAnsi="Calibri" w:cs="Calibri" w:eastAsia="Calibri"/>
          <w:b w:val="0"/>
          <w:i w:val="0"/>
          <w:sz w:val="21"/>
          <w:szCs w:val="21"/>
        </w:rPr>
        <w:t>MSSP threat intelligence included in the monitoring service.</w:t>
      </w:r>
    </w:p>
    <w:p>
      <w:pPr>
        <w:pStyle w:val="ListBullet"/>
        <w:spacing w:after="40"/>
      </w:pPr>
      <w:r>
        <w:rPr>
          <w:rFonts w:ascii="Calibri" w:hAnsi="Calibri" w:cs="Calibri" w:eastAsia="Calibri"/>
          <w:b w:val="0"/>
          <w:i w:val="0"/>
          <w:sz w:val="21"/>
          <w:szCs w:val="21"/>
        </w:rPr>
        <w:t>CISA KEV catalog checked weekly by the security engineer.</w:t>
      </w:r>
    </w:p>
    <w:p>
      <w:pPr>
        <w:pStyle w:val="Heading2"/>
        <w:keepNext/>
        <w:spacing w:before="120" w:after="80"/>
      </w:pPr>
      <w:r>
        <w:rPr>
          <w:rFonts w:ascii="Calibri" w:hAnsi="Calibri" w:cs="Calibri" w:eastAsia="Calibri"/>
          <w:b/>
          <w:i w:val="0"/>
          <w:color w:val="1F3864"/>
          <w:sz w:val="24"/>
          <w:szCs w:val="24"/>
          <w:bCs/>
        </w:rPr>
        <w:t>4.4 Process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how intelligence is triaged and turned into action.</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680"/>
        <w:gridCol w:w="5670"/>
        <w:gridCol w:w="3005"/>
      </w:tblGrid>
      <w:tr>
        <w:trPr>
          <w:tblHeader w:val="true"/>
        </w:trPr>
        <w:tc>
          <w:tcPr>
            <w:tcW w:type="dxa" w:w="680"/>
            <w:shd w:val="clear" w:color="auto" w:fill="1F3864"/>
          </w:tcPr>
          <w:p>
            <w:r/>
            <w:r>
              <w:rPr>
                <w:rFonts w:ascii="Calibri" w:hAnsi="Calibri" w:cs="Calibri" w:eastAsia="Calibri"/>
                <w:b/>
                <w:i w:val="0"/>
                <w:color w:val="FFFFFF"/>
                <w:sz w:val="18"/>
                <w:szCs w:val="18"/>
                <w:bCs/>
              </w:rPr>
              <w:t>Step</w:t>
            </w:r>
          </w:p>
        </w:tc>
        <w:tc>
          <w:tcPr>
            <w:tcW w:type="dxa" w:w="5669"/>
            <w:shd w:val="clear" w:color="auto" w:fill="1F3864"/>
          </w:tcPr>
          <w:p>
            <w:r/>
            <w:r>
              <w:rPr>
                <w:rFonts w:ascii="Calibri" w:hAnsi="Calibri" w:cs="Calibri" w:eastAsia="Calibri"/>
                <w:b/>
                <w:i w:val="0"/>
                <w:color w:val="FFFFFF"/>
                <w:sz w:val="18"/>
                <w:szCs w:val="18"/>
                <w:bCs/>
              </w:rPr>
              <w:t>Activity</w:t>
            </w:r>
          </w:p>
        </w:tc>
        <w:tc>
          <w:tcPr>
            <w:tcW w:type="dxa" w:w="3005"/>
            <w:shd w:val="clear" w:color="auto" w:fill="1F3864"/>
          </w:tcPr>
          <w:p>
            <w:r/>
            <w:r>
              <w:rPr>
                <w:rFonts w:ascii="Calibri" w:hAnsi="Calibri" w:cs="Calibri" w:eastAsia="Calibri"/>
                <w:b/>
                <w:i w:val="0"/>
                <w:color w:val="FFFFFF"/>
                <w:sz w:val="18"/>
                <w:szCs w:val="18"/>
                <w:bCs/>
              </w:rPr>
              <w:t>Output</w:t>
            </w:r>
          </w:p>
        </w:tc>
      </w:tr>
      <w:tr>
        <w:tc>
          <w:tcPr>
            <w:tcW w:type="dxa" w:w="680"/>
          </w:tcPr>
          <w:p>
            <w:r/>
            <w:r>
              <w:rPr>
                <w:rFonts w:ascii="Calibri" w:hAnsi="Calibri" w:cs="Calibri" w:eastAsia="Calibri"/>
                <w:b w:val="0"/>
                <w:i w:val="0"/>
                <w:sz w:val="18"/>
                <w:szCs w:val="18"/>
              </w:rPr>
              <w:t>1</w:t>
            </w:r>
          </w:p>
        </w:tc>
        <w:tc>
          <w:tcPr>
            <w:tcW w:type="dxa" w:w="5669"/>
          </w:tcPr>
          <w:p>
            <w:r/>
            <w:r>
              <w:rPr>
                <w:rFonts w:ascii="Calibri" w:hAnsi="Calibri" w:cs="Calibri" w:eastAsia="Calibri"/>
                <w:b w:val="0"/>
                <w:i w:val="0"/>
                <w:sz w:val="18"/>
                <w:szCs w:val="18"/>
              </w:rPr>
              <w:t>Review new intelligence daily for relevance to our assets and sector</w:t>
            </w:r>
          </w:p>
        </w:tc>
        <w:tc>
          <w:tcPr>
            <w:tcW w:type="dxa" w:w="3005"/>
          </w:tcPr>
          <w:p>
            <w:r/>
            <w:r>
              <w:rPr>
                <w:rFonts w:ascii="Calibri" w:hAnsi="Calibri" w:cs="Calibri" w:eastAsia="Calibri"/>
                <w:b w:val="0"/>
                <w:i w:val="0"/>
                <w:sz w:val="18"/>
                <w:szCs w:val="18"/>
              </w:rPr>
              <w:t>Relevant items</w:t>
            </w:r>
          </w:p>
        </w:tc>
      </w:tr>
      <w:tr>
        <w:tc>
          <w:tcPr>
            <w:tcW w:type="dxa" w:w="680"/>
          </w:tcPr>
          <w:p>
            <w:r/>
            <w:r>
              <w:rPr>
                <w:rFonts w:ascii="Calibri" w:hAnsi="Calibri" w:cs="Calibri" w:eastAsia="Calibri"/>
                <w:b w:val="0"/>
                <w:i w:val="0"/>
                <w:sz w:val="18"/>
                <w:szCs w:val="18"/>
              </w:rPr>
              <w:t>2</w:t>
            </w:r>
          </w:p>
        </w:tc>
        <w:tc>
          <w:tcPr>
            <w:tcW w:type="dxa" w:w="5669"/>
          </w:tcPr>
          <w:p>
            <w:r/>
            <w:r>
              <w:rPr>
                <w:rFonts w:ascii="Calibri" w:hAnsi="Calibri" w:cs="Calibri" w:eastAsia="Calibri"/>
                <w:b w:val="0"/>
                <w:i w:val="0"/>
                <w:sz w:val="18"/>
                <w:szCs w:val="18"/>
              </w:rPr>
              <w:t>Assess urgency: active exploitation, exposure, critical assets</w:t>
            </w:r>
          </w:p>
        </w:tc>
        <w:tc>
          <w:tcPr>
            <w:tcW w:type="dxa" w:w="3005"/>
          </w:tcPr>
          <w:p>
            <w:r/>
            <w:r>
              <w:rPr>
                <w:rFonts w:ascii="Calibri" w:hAnsi="Calibri" w:cs="Calibri" w:eastAsia="Calibri"/>
                <w:b w:val="0"/>
                <w:i w:val="0"/>
                <w:sz w:val="18"/>
                <w:szCs w:val="18"/>
              </w:rPr>
              <w:t>Priority</w:t>
            </w:r>
          </w:p>
        </w:tc>
      </w:tr>
      <w:tr>
        <w:tc>
          <w:tcPr>
            <w:tcW w:type="dxa" w:w="680"/>
          </w:tcPr>
          <w:p>
            <w:r/>
            <w:r>
              <w:rPr>
                <w:rFonts w:ascii="Calibri" w:hAnsi="Calibri" w:cs="Calibri" w:eastAsia="Calibri"/>
                <w:b w:val="0"/>
                <w:i w:val="0"/>
                <w:sz w:val="18"/>
                <w:szCs w:val="18"/>
              </w:rPr>
              <w:t>3</w:t>
            </w:r>
          </w:p>
        </w:tc>
        <w:tc>
          <w:tcPr>
            <w:tcW w:type="dxa" w:w="5669"/>
          </w:tcPr>
          <w:p>
            <w:r/>
            <w:r>
              <w:rPr>
                <w:rFonts w:ascii="Calibri" w:hAnsi="Calibri" w:cs="Calibri" w:eastAsia="Calibri"/>
                <w:b w:val="0"/>
                <w:i w:val="0"/>
                <w:sz w:val="18"/>
                <w:szCs w:val="18"/>
              </w:rPr>
              <w:t>Act: patch, block indicators, add detections, or update risk</w:t>
            </w:r>
          </w:p>
        </w:tc>
        <w:tc>
          <w:tcPr>
            <w:tcW w:type="dxa" w:w="3005"/>
          </w:tcPr>
          <w:p>
            <w:r/>
            <w:r>
              <w:rPr>
                <w:rFonts w:ascii="Calibri" w:hAnsi="Calibri" w:cs="Calibri" w:eastAsia="Calibri"/>
                <w:b w:val="0"/>
                <w:i w:val="0"/>
                <w:sz w:val="18"/>
                <w:szCs w:val="18"/>
              </w:rPr>
              <w:t>Ticket or rule</w:t>
            </w:r>
          </w:p>
        </w:tc>
      </w:tr>
      <w:tr>
        <w:tc>
          <w:tcPr>
            <w:tcW w:type="dxa" w:w="680"/>
          </w:tcPr>
          <w:p>
            <w:r/>
            <w:r>
              <w:rPr>
                <w:rFonts w:ascii="Calibri" w:hAnsi="Calibri" w:cs="Calibri" w:eastAsia="Calibri"/>
                <w:b w:val="0"/>
                <w:i w:val="0"/>
                <w:sz w:val="18"/>
                <w:szCs w:val="18"/>
              </w:rPr>
              <w:t>4</w:t>
            </w:r>
          </w:p>
        </w:tc>
        <w:tc>
          <w:tcPr>
            <w:tcW w:type="dxa" w:w="5669"/>
          </w:tcPr>
          <w:p>
            <w:r/>
            <w:r>
              <w:rPr>
                <w:rFonts w:ascii="Calibri" w:hAnsi="Calibri" w:cs="Calibri" w:eastAsia="Calibri"/>
                <w:b w:val="0"/>
                <w:i w:val="0"/>
                <w:sz w:val="18"/>
                <w:szCs w:val="18"/>
              </w:rPr>
              <w:t>Share relevant indicators with sector peers as permitted</w:t>
            </w:r>
          </w:p>
        </w:tc>
        <w:tc>
          <w:tcPr>
            <w:tcW w:type="dxa" w:w="3005"/>
          </w:tcPr>
          <w:p>
            <w:r/>
            <w:r>
              <w:rPr>
                <w:rFonts w:ascii="Calibri" w:hAnsi="Calibri" w:cs="Calibri" w:eastAsia="Calibri"/>
                <w:b w:val="0"/>
                <w:i w:val="0"/>
                <w:sz w:val="18"/>
                <w:szCs w:val="18"/>
              </w:rPr>
              <w:t>Shared report</w:t>
            </w:r>
          </w:p>
        </w:tc>
      </w:tr>
      <w:tr>
        <w:tc>
          <w:tcPr>
            <w:tcW w:type="dxa" w:w="680"/>
          </w:tcPr>
          <w:p>
            <w:r/>
            <w:r>
              <w:rPr>
                <w:rFonts w:ascii="Calibri" w:hAnsi="Calibri" w:cs="Calibri" w:eastAsia="Calibri"/>
                <w:b w:val="0"/>
                <w:i w:val="0"/>
                <w:sz w:val="18"/>
                <w:szCs w:val="18"/>
              </w:rPr>
              <w:t>5</w:t>
            </w:r>
          </w:p>
        </w:tc>
        <w:tc>
          <w:tcPr>
            <w:tcW w:type="dxa" w:w="5669"/>
          </w:tcPr>
          <w:p>
            <w:r/>
            <w:r>
              <w:rPr>
                <w:rFonts w:ascii="Calibri" w:hAnsi="Calibri" w:cs="Calibri" w:eastAsia="Calibri"/>
                <w:b w:val="0"/>
                <w:i w:val="0"/>
                <w:sz w:val="18"/>
                <w:szCs w:val="18"/>
              </w:rPr>
              <w:t>Summarize monthly threat trends for management</w:t>
            </w:r>
          </w:p>
        </w:tc>
        <w:tc>
          <w:tcPr>
            <w:tcW w:type="dxa" w:w="3005"/>
          </w:tcPr>
          <w:p>
            <w:r/>
            <w:r>
              <w:rPr>
                <w:rFonts w:ascii="Calibri" w:hAnsi="Calibri" w:cs="Calibri" w:eastAsia="Calibri"/>
                <w:b w:val="0"/>
                <w:i w:val="0"/>
                <w:sz w:val="18"/>
                <w:szCs w:val="18"/>
              </w:rPr>
              <w:t>Threat summary</w:t>
            </w:r>
          </w:p>
        </w:tc>
      </w:tr>
    </w:tbl>
    <w:p>
      <w:pPr>
        <w:spacing w:after="40"/>
      </w:pP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Focus on intelligence you can act on; a feed you never use is cost without value.</w:t>
      </w:r>
    </w:p>
    <w:p>
      <w:pPr>
        <w:pStyle w:val="ListBullet"/>
        <w:spacing w:after="40"/>
      </w:pPr>
      <w:r>
        <w:rPr>
          <w:rFonts w:ascii="Calibri" w:hAnsi="Calibri" w:cs="Calibri" w:eastAsia="Calibri"/>
          <w:b w:val="0"/>
          <w:i w:val="0"/>
          <w:sz w:val="21"/>
          <w:szCs w:val="21"/>
        </w:rPr>
        <w:t>Join a sector information-sharing group; peers often see the same campaigns first.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Buying expensive threat feeds without a process to use them.</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ID.RA-02: Cyber threat intelligence is received from information sharing forums and sources</w:t>
            </w:r>
          </w:p>
          <w:p>
            <w:r>
              <w:rPr>
                <w:rFonts w:ascii="Calibri" w:hAnsi="Calibri" w:cs="Calibri" w:eastAsia="Calibri"/>
                <w:b w:val="0"/>
                <w:i w:val="0"/>
                <w:sz w:val="18"/>
                <w:szCs w:val="18"/>
              </w:rPr>
              <w:t>ID.RA-03: Internal and external threats to the organization are identified and recorded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A.5.7, Annex A.5.6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PM-16, RA-10</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5.7</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GV-PRC-001: Risk Assessment and Treatment Methodology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ID-PRC-004  |  Threat Intelligence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