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Vulnerability Disclosure Handling Procedure</w:t>
      </w:r>
    </w:p>
    <w:p>
      <w:pPr>
        <w:spacing w:after="80" w:before="0"/>
      </w:pPr>
      <w:r>
        <w:rPr>
          <w:rFonts w:ascii="Calibri" w:hAnsi="Calibri" w:cs="Calibri" w:eastAsia="Calibri"/>
          <w:b w:val="0"/>
          <w:i w:val="0"/>
          <w:color w:val="595959"/>
          <w:sz w:val="18"/>
          <w:szCs w:val="18"/>
        </w:rPr>
        <w:t>ID-PRC-005  |  Procedure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ID-PRC-005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Vulnerability Disclosure Handling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14 September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14 September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Optional</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29147 and ISO/IEC 30111</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Extended</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Optional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24 June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14 September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how the organization receives, validates, fixes, and responds to vulnerability reports from external researchers, customers, and suppliers (ID.RA-08).</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Disclosure Channel and Policy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Publish a channel and state what reporters can expect.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Publish a dedicated security contact email address and a security.txt file on the website.</w:t>
      </w:r>
    </w:p>
    <w:p>
      <w:pPr>
        <w:pStyle w:val="ListBullet"/>
        <w:spacing w:after="40"/>
      </w:pPr>
      <w:r>
        <w:rPr>
          <w:rFonts w:ascii="Calibri" w:hAnsi="Calibri" w:cs="Calibri" w:eastAsia="Calibri"/>
          <w:b w:val="0"/>
          <w:i w:val="0"/>
          <w:sz w:val="21"/>
          <w:szCs w:val="21"/>
        </w:rPr>
        <w:t>Acknowledge reports within 3 working days and give status updates every 14 days.</w:t>
      </w:r>
    </w:p>
    <w:p>
      <w:pPr>
        <w:pStyle w:val="ListBullet"/>
        <w:spacing w:after="40"/>
      </w:pPr>
      <w:r>
        <w:rPr>
          <w:rFonts w:ascii="Calibri" w:hAnsi="Calibri" w:cs="Calibri" w:eastAsia="Calibri"/>
          <w:b w:val="0"/>
          <w:i w:val="0"/>
          <w:sz w:val="21"/>
          <w:szCs w:val="21"/>
        </w:rPr>
        <w:t>Do not take legal action against good-faith researchers who follow the policy.</w:t>
      </w:r>
    </w:p>
    <w:p>
      <w:pPr>
        <w:pStyle w:val="ListBullet"/>
        <w:spacing w:after="40"/>
      </w:pPr>
      <w:r>
        <w:rPr>
          <w:rFonts w:ascii="Calibri" w:hAnsi="Calibri" w:cs="Calibri" w:eastAsia="Calibri"/>
          <w:b w:val="0"/>
          <w:i w:val="0"/>
          <w:sz w:val="21"/>
          <w:szCs w:val="21"/>
        </w:rPr>
        <w:t>Coordinate public disclosure after a fix is available.</w:t>
      </w:r>
    </w:p>
    <w:p>
      <w:pPr>
        <w:pStyle w:val="Heading2"/>
        <w:keepNext/>
        <w:spacing w:before="120" w:after="80"/>
      </w:pPr>
      <w:r>
        <w:rPr>
          <w:rFonts w:ascii="Calibri" w:hAnsi="Calibri" w:cs="Calibri" w:eastAsia="Calibri"/>
          <w:b/>
          <w:i w:val="0"/>
          <w:color w:val="1F3864"/>
          <w:sz w:val="24"/>
          <w:szCs w:val="24"/>
          <w:bCs/>
        </w:rPr>
        <w:t>4.4 Handling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internal handling steps.</w:t>
            </w:r>
          </w:p>
        </w:tc>
      </w:tr>
    </w:tbl>
    <w:p>
      <w:pPr>
        <w:spacing w:after="0"/>
      </w:pPr>
    </w:p>
    <w:p>
      <w:pPr>
        <w:spacing w:after="40" w:before="0"/>
      </w:pPr>
      <w:r>
        <w:rPr>
          <w:rFonts w:ascii="Calibri" w:hAnsi="Calibri" w:cs="Calibri" w:eastAsia="Calibri"/>
          <w:b w:val="0"/>
          <w:i/>
          <w:color w:val="595959"/>
          <w:sz w:val="18"/>
          <w:szCs w:val="18"/>
        </w:rPr>
        <w:t>Sample content</w:t>
      </w:r>
    </w:p>
    <w:p>
      <w:pPr>
        <w:pStyle w:val="ListNumber"/>
        <w:spacing w:after="40"/>
      </w:pPr>
      <w:r>
        <w:rPr>
          <w:rFonts w:ascii="Calibri" w:hAnsi="Calibri" w:cs="Calibri" w:eastAsia="Calibri"/>
          <w:b w:val="0"/>
          <w:i w:val="0"/>
          <w:sz w:val="21"/>
          <w:szCs w:val="21"/>
        </w:rPr>
        <w:t>Log the report and acknowledge receipt.</w:t>
      </w:r>
    </w:p>
    <w:p>
      <w:pPr>
        <w:pStyle w:val="ListNumber"/>
        <w:spacing w:after="40"/>
      </w:pPr>
      <w:r>
        <w:rPr>
          <w:rFonts w:ascii="Calibri" w:hAnsi="Calibri" w:cs="Calibri" w:eastAsia="Calibri"/>
          <w:b w:val="0"/>
          <w:i w:val="0"/>
          <w:sz w:val="21"/>
          <w:szCs w:val="21"/>
        </w:rPr>
        <w:t>Validate and rate severity; involve the vendor if the issue is in a supplied product.</w:t>
      </w:r>
    </w:p>
    <w:p>
      <w:pPr>
        <w:pStyle w:val="ListNumber"/>
        <w:spacing w:after="40"/>
      </w:pPr>
      <w:r>
        <w:rPr>
          <w:rFonts w:ascii="Calibri" w:hAnsi="Calibri" w:cs="Calibri" w:eastAsia="Calibri"/>
          <w:b w:val="0"/>
          <w:i w:val="0"/>
          <w:sz w:val="21"/>
          <w:szCs w:val="21"/>
        </w:rPr>
        <w:t>Remediate through the vulnerability management procedure (ID-PRC-002).</w:t>
      </w:r>
    </w:p>
    <w:p>
      <w:pPr>
        <w:pStyle w:val="ListNumber"/>
        <w:spacing w:after="40"/>
      </w:pPr>
      <w:r>
        <w:rPr>
          <w:rFonts w:ascii="Calibri" w:hAnsi="Calibri" w:cs="Calibri" w:eastAsia="Calibri"/>
          <w:b w:val="0"/>
          <w:i w:val="0"/>
          <w:sz w:val="21"/>
          <w:szCs w:val="21"/>
        </w:rPr>
        <w:t>Inform the reporter and agree disclosure timing.</w:t>
      </w:r>
    </w:p>
    <w:p>
      <w:pPr>
        <w:pStyle w:val="ListNumber"/>
        <w:spacing w:after="40"/>
      </w:pPr>
      <w:r>
        <w:rPr>
          <w:rFonts w:ascii="Calibri" w:hAnsi="Calibri" w:cs="Calibri" w:eastAsia="Calibri"/>
          <w:b w:val="0"/>
          <w:i w:val="0"/>
          <w:sz w:val="21"/>
          <w:szCs w:val="21"/>
        </w:rPr>
        <w:t>Treat any evidence of exploitation as a security incident (RS-PRC-001).</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Follow ISO/IEC 29147 for disclosure and ISO/IEC 30111 for internal handling.</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Researchers cannot find a contact, so they disclose publicly.</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ID.RA-08: Processes for receiving, analyzing, and responding to vulnerability disclosures are established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RA-5(11)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29147 and ISO/IEC 30111</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ID-PRC-002: Vulnerability Management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ID-PRC-005  |  Vulnerability Disclosure Handling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