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Vulnerability Remediation Tracker</w:t>
      </w:r>
    </w:p>
    <w:p>
      <w:pPr>
        <w:spacing w:after="80" w:before="0"/>
      </w:pPr>
      <w:r>
        <w:rPr>
          <w:rFonts w:ascii="Calibri" w:hAnsi="Calibri" w:cs="Calibri" w:eastAsia="Calibri"/>
          <w:b w:val="0"/>
          <w:i w:val="0"/>
          <w:color w:val="595959"/>
          <w:sz w:val="18"/>
          <w:szCs w:val="18"/>
        </w:rPr>
        <w:t>ID-REG-006  |  Register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ID-REG-006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Vulnerability Remediation Tracker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24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Continuous; report monthly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24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8.8</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23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24 April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tracker records validated vulnerabilities, their severity, owner, due date, and remediation status, to show exposure and SLA compliance (ID.RA-01).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(ID-PRC-002)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Vuln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V-2026-0001</w:t>
            </w:r>
          </w:p>
        </w:tc>
      </w:tr>
      <w:tr>
        <w:tc>
          <w:tcPr>
            <w:tcW w:type="dxa" w:w="2268"/>
          </w:tcPr>
          <w:p>
            <w:r/>
            <w:r>
              <w:rPr>
                <w:rFonts w:ascii="Calibri" w:hAnsi="Calibri" w:cs="Calibri" w:eastAsia="Calibri"/>
                <w:b w:val="0"/>
                <w:i w:val="0"/>
                <w:sz w:val="18"/>
                <w:szCs w:val="18"/>
              </w:rPr>
              <w:t>Source</w:t>
            </w:r>
          </w:p>
        </w:tc>
        <w:tc>
          <w:tcPr>
            <w:tcW w:type="dxa" w:w="4535"/>
          </w:tcPr>
          <w:p>
            <w:r/>
            <w:r>
              <w:rPr>
                <w:rFonts w:ascii="Calibri" w:hAnsi="Calibri" w:cs="Calibri" w:eastAsia="Calibri"/>
                <w:b w:val="0"/>
                <w:i w:val="0"/>
                <w:sz w:val="18"/>
                <w:szCs w:val="18"/>
              </w:rPr>
              <w:t>Scan, pentest, advisory.</w:t>
            </w:r>
          </w:p>
        </w:tc>
        <w:tc>
          <w:tcPr>
            <w:tcW w:type="dxa" w:w="2551"/>
          </w:tcPr>
          <w:p>
            <w:r/>
          </w:p>
        </w:tc>
      </w:tr>
      <w:tr>
        <w:tc>
          <w:tcPr>
            <w:tcW w:type="dxa" w:w="2268"/>
          </w:tcPr>
          <w:p>
            <w:r/>
            <w:r>
              <w:rPr>
                <w:rFonts w:ascii="Calibri" w:hAnsi="Calibri" w:cs="Calibri" w:eastAsia="Calibri"/>
                <w:b w:val="0"/>
                <w:i w:val="0"/>
                <w:sz w:val="18"/>
                <w:szCs w:val="18"/>
              </w:rPr>
              <w:t>Asset</w:t>
            </w:r>
          </w:p>
        </w:tc>
        <w:tc>
          <w:tcPr>
            <w:tcW w:type="dxa" w:w="4535"/>
          </w:tcPr>
          <w:p>
            <w:r/>
            <w:r>
              <w:rPr>
                <w:rFonts w:ascii="Calibri" w:hAnsi="Calibri" w:cs="Calibri" w:eastAsia="Calibri"/>
                <w:b w:val="0"/>
                <w:i w:val="0"/>
                <w:sz w:val="18"/>
                <w:szCs w:val="18"/>
              </w:rPr>
              <w:t>Asset ID.</w:t>
            </w:r>
          </w:p>
        </w:tc>
        <w:tc>
          <w:tcPr>
            <w:tcW w:type="dxa" w:w="2551"/>
          </w:tcPr>
          <w:p>
            <w:r/>
          </w:p>
        </w:tc>
      </w:tr>
      <w:tr>
        <w:tc>
          <w:tcPr>
            <w:tcW w:type="dxa" w:w="2268"/>
          </w:tcPr>
          <w:p>
            <w:r/>
            <w:r>
              <w:rPr>
                <w:rFonts w:ascii="Calibri" w:hAnsi="Calibri" w:cs="Calibri" w:eastAsia="Calibri"/>
                <w:b w:val="0"/>
                <w:i w:val="0"/>
                <w:sz w:val="18"/>
                <w:szCs w:val="18"/>
              </w:rPr>
              <w:t>Vulnerability (CVE)</w:t>
            </w:r>
          </w:p>
        </w:tc>
        <w:tc>
          <w:tcPr>
            <w:tcW w:type="dxa" w:w="4535"/>
          </w:tcPr>
          <w:p>
            <w:r/>
            <w:r>
              <w:rPr>
                <w:rFonts w:ascii="Calibri" w:hAnsi="Calibri" w:cs="Calibri" w:eastAsia="Calibri"/>
                <w:b w:val="0"/>
                <w:i w:val="0"/>
                <w:sz w:val="18"/>
                <w:szCs w:val="18"/>
              </w:rPr>
              <w:t>Title and CVE.</w:t>
            </w:r>
          </w:p>
        </w:tc>
        <w:tc>
          <w:tcPr>
            <w:tcW w:type="dxa" w:w="2551"/>
          </w:tcPr>
          <w:p>
            <w:r/>
          </w:p>
        </w:tc>
      </w:tr>
      <w:tr>
        <w:tc>
          <w:tcPr>
            <w:tcW w:type="dxa" w:w="2268"/>
          </w:tcPr>
          <w:p>
            <w:r/>
            <w:r>
              <w:rPr>
                <w:rFonts w:ascii="Calibri" w:hAnsi="Calibri" w:cs="Calibri" w:eastAsia="Calibri"/>
                <w:b w:val="0"/>
                <w:i w:val="0"/>
                <w:sz w:val="18"/>
                <w:szCs w:val="18"/>
              </w:rPr>
              <w:t>Severity and exposure</w:t>
            </w:r>
          </w:p>
        </w:tc>
        <w:tc>
          <w:tcPr>
            <w:tcW w:type="dxa" w:w="4535"/>
          </w:tcPr>
          <w:p>
            <w:r/>
            <w:r>
              <w:rPr>
                <w:rFonts w:ascii="Calibri" w:hAnsi="Calibri" w:cs="Calibri" w:eastAsia="Calibri"/>
                <w:b w:val="0"/>
                <w:i w:val="0"/>
                <w:sz w:val="18"/>
                <w:szCs w:val="18"/>
              </w:rPr>
              <w:t>Per ID-STD-002.</w:t>
            </w:r>
          </w:p>
        </w:tc>
        <w:tc>
          <w:tcPr>
            <w:tcW w:type="dxa" w:w="2551"/>
          </w:tcPr>
          <w:p>
            <w:r/>
          </w:p>
        </w:tc>
      </w:tr>
      <w:tr>
        <w:tc>
          <w:tcPr>
            <w:tcW w:type="dxa" w:w="2268"/>
          </w:tcPr>
          <w:p>
            <w:r/>
            <w:r>
              <w:rPr>
                <w:rFonts w:ascii="Calibri" w:hAnsi="Calibri" w:cs="Calibri" w:eastAsia="Calibri"/>
                <w:b w:val="0"/>
                <w:i w:val="0"/>
                <w:sz w:val="18"/>
                <w:szCs w:val="18"/>
              </w:rPr>
              <w:t>Owner</w:t>
            </w:r>
          </w:p>
        </w:tc>
        <w:tc>
          <w:tcPr>
            <w:tcW w:type="dxa" w:w="4535"/>
          </w:tcPr>
          <w:p>
            <w:r/>
            <w:r>
              <w:rPr>
                <w:rFonts w:ascii="Calibri" w:hAnsi="Calibri" w:cs="Calibri" w:eastAsia="Calibri"/>
                <w:b w:val="0"/>
                <w:i w:val="0"/>
                <w:sz w:val="18"/>
                <w:szCs w:val="18"/>
              </w:rPr>
              <w:t>System owner.</w:t>
            </w:r>
          </w:p>
        </w:tc>
        <w:tc>
          <w:tcPr>
            <w:tcW w:type="dxa" w:w="2551"/>
          </w:tcPr>
          <w:p>
            <w:r/>
          </w:p>
        </w:tc>
      </w:tr>
      <w:tr>
        <w:tc>
          <w:tcPr>
            <w:tcW w:type="dxa" w:w="2268"/>
          </w:tcPr>
          <w:p>
            <w:r/>
            <w:r>
              <w:rPr>
                <w:rFonts w:ascii="Calibri" w:hAnsi="Calibri" w:cs="Calibri" w:eastAsia="Calibri"/>
                <w:b w:val="0"/>
                <w:i w:val="0"/>
                <w:sz w:val="18"/>
                <w:szCs w:val="18"/>
              </w:rPr>
              <w:t>Found and due date</w:t>
            </w:r>
          </w:p>
        </w:tc>
        <w:tc>
          <w:tcPr>
            <w:tcW w:type="dxa" w:w="4535"/>
          </w:tcPr>
          <w:p>
            <w:r/>
            <w:r>
              <w:rPr>
                <w:rFonts w:ascii="Calibri" w:hAnsi="Calibri" w:cs="Calibri" w:eastAsia="Calibri"/>
                <w:b w:val="0"/>
                <w:i w:val="0"/>
                <w:sz w:val="18"/>
                <w:szCs w:val="18"/>
              </w:rPr>
              <w:t>Dates.</w:t>
            </w:r>
          </w:p>
        </w:tc>
        <w:tc>
          <w:tcPr>
            <w:tcW w:type="dxa" w:w="2551"/>
          </w:tcPr>
          <w:p>
            <w:r/>
          </w:p>
        </w:tc>
      </w:tr>
      <w:tr>
        <w:tc>
          <w:tcPr>
            <w:tcW w:type="dxa" w:w="2268"/>
          </w:tcPr>
          <w:p>
            <w:r/>
            <w:r>
              <w:rPr>
                <w:rFonts w:ascii="Calibri" w:hAnsi="Calibri" w:cs="Calibri" w:eastAsia="Calibri"/>
                <w:b w:val="0"/>
                <w:i w:val="0"/>
                <w:sz w:val="18"/>
                <w:szCs w:val="18"/>
              </w:rPr>
              <w:t>Status</w:t>
            </w:r>
          </w:p>
        </w:tc>
        <w:tc>
          <w:tcPr>
            <w:tcW w:type="dxa" w:w="4535"/>
          </w:tcPr>
          <w:p>
            <w:r/>
            <w:r>
              <w:rPr>
                <w:rFonts w:ascii="Calibri" w:hAnsi="Calibri" w:cs="Calibri" w:eastAsia="Calibri"/>
                <w:b w:val="0"/>
                <w:i w:val="0"/>
                <w:sz w:val="18"/>
                <w:szCs w:val="18"/>
              </w:rPr>
              <w:t>Open, Fixed, Verified, Exception.</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892"/>
        <w:gridCol w:w="1892"/>
        <w:gridCol w:w="1892"/>
        <w:gridCol w:w="1892"/>
        <w:gridCol w:w="1892"/>
        <w:gridCol w:w="1892"/>
        <w:gridCol w:w="1892"/>
        <w:gridCol w:w="1892"/>
      </w:tblGrid>
      <w:tr>
        <w:trPr>
          <w:tblHeader w:val="true"/>
        </w:trPr>
        <w:tc>
          <w:tcPr>
            <w:tcW w:type="dxa" w:w="1892"/>
            <w:shd w:val="clear" w:color="auto" w:fill="1F3864"/>
          </w:tcPr>
          <w:p>
            <w:r/>
            <w:r>
              <w:rPr>
                <w:rFonts w:ascii="Calibri" w:hAnsi="Calibri" w:cs="Calibri" w:eastAsia="Calibri"/>
                <w:b/>
                <w:i w:val="0"/>
                <w:color w:val="FFFFFF"/>
                <w:sz w:val="16"/>
                <w:szCs w:val="16"/>
                <w:bCs/>
              </w:rPr>
              <w:t>Vuln ID</w:t>
            </w:r>
          </w:p>
        </w:tc>
        <w:tc>
          <w:tcPr>
            <w:tcW w:type="dxa" w:w="1892"/>
            <w:shd w:val="clear" w:color="auto" w:fill="1F3864"/>
          </w:tcPr>
          <w:p>
            <w:r/>
            <w:r>
              <w:rPr>
                <w:rFonts w:ascii="Calibri" w:hAnsi="Calibri" w:cs="Calibri" w:eastAsia="Calibri"/>
                <w:b/>
                <w:i w:val="0"/>
                <w:color w:val="FFFFFF"/>
                <w:sz w:val="16"/>
                <w:szCs w:val="16"/>
                <w:bCs/>
              </w:rPr>
              <w:t>Source</w:t>
            </w:r>
          </w:p>
        </w:tc>
        <w:tc>
          <w:tcPr>
            <w:tcW w:type="dxa" w:w="1892"/>
            <w:shd w:val="clear" w:color="auto" w:fill="1F3864"/>
          </w:tcPr>
          <w:p>
            <w:r/>
            <w:r>
              <w:rPr>
                <w:rFonts w:ascii="Calibri" w:hAnsi="Calibri" w:cs="Calibri" w:eastAsia="Calibri"/>
                <w:b/>
                <w:i w:val="0"/>
                <w:color w:val="FFFFFF"/>
                <w:sz w:val="16"/>
                <w:szCs w:val="16"/>
                <w:bCs/>
              </w:rPr>
              <w:t>Asset</w:t>
            </w:r>
          </w:p>
        </w:tc>
        <w:tc>
          <w:tcPr>
            <w:tcW w:type="dxa" w:w="1892"/>
            <w:shd w:val="clear" w:color="auto" w:fill="1F3864"/>
          </w:tcPr>
          <w:p>
            <w:r/>
            <w:r>
              <w:rPr>
                <w:rFonts w:ascii="Calibri" w:hAnsi="Calibri" w:cs="Calibri" w:eastAsia="Calibri"/>
                <w:b/>
                <w:i w:val="0"/>
                <w:color w:val="FFFFFF"/>
                <w:sz w:val="16"/>
                <w:szCs w:val="16"/>
                <w:bCs/>
              </w:rPr>
              <w:t>Vulnerability (CVE)</w:t>
            </w:r>
          </w:p>
        </w:tc>
        <w:tc>
          <w:tcPr>
            <w:tcW w:type="dxa" w:w="1892"/>
            <w:shd w:val="clear" w:color="auto" w:fill="1F3864"/>
          </w:tcPr>
          <w:p>
            <w:r/>
            <w:r>
              <w:rPr>
                <w:rFonts w:ascii="Calibri" w:hAnsi="Calibri" w:cs="Calibri" w:eastAsia="Calibri"/>
                <w:b/>
                <w:i w:val="0"/>
                <w:color w:val="FFFFFF"/>
                <w:sz w:val="16"/>
                <w:szCs w:val="16"/>
                <w:bCs/>
              </w:rPr>
              <w:t>Severity and exposure</w:t>
            </w:r>
          </w:p>
        </w:tc>
        <w:tc>
          <w:tcPr>
            <w:tcW w:type="dxa" w:w="1892"/>
            <w:shd w:val="clear" w:color="auto" w:fill="1F3864"/>
          </w:tcPr>
          <w:p>
            <w:r/>
            <w:r>
              <w:rPr>
                <w:rFonts w:ascii="Calibri" w:hAnsi="Calibri" w:cs="Calibri" w:eastAsia="Calibri"/>
                <w:b/>
                <w:i w:val="0"/>
                <w:color w:val="FFFFFF"/>
                <w:sz w:val="16"/>
                <w:szCs w:val="16"/>
                <w:bCs/>
              </w:rPr>
              <w:t>Owner</w:t>
            </w:r>
          </w:p>
        </w:tc>
        <w:tc>
          <w:tcPr>
            <w:tcW w:type="dxa" w:w="1892"/>
            <w:shd w:val="clear" w:color="auto" w:fill="1F3864"/>
          </w:tcPr>
          <w:p>
            <w:r/>
            <w:r>
              <w:rPr>
                <w:rFonts w:ascii="Calibri" w:hAnsi="Calibri" w:cs="Calibri" w:eastAsia="Calibri"/>
                <w:b/>
                <w:i w:val="0"/>
                <w:color w:val="FFFFFF"/>
                <w:sz w:val="16"/>
                <w:szCs w:val="16"/>
                <w:bCs/>
              </w:rPr>
              <w:t>Found and due date</w:t>
            </w:r>
          </w:p>
        </w:tc>
        <w:tc>
          <w:tcPr>
            <w:tcW w:type="dxa" w:w="1892"/>
            <w:shd w:val="clear" w:color="auto" w:fill="1F3864"/>
          </w:tcPr>
          <w:p>
            <w:r/>
            <w:r>
              <w:rPr>
                <w:rFonts w:ascii="Calibri" w:hAnsi="Calibri" w:cs="Calibri" w:eastAsia="Calibri"/>
                <w:b/>
                <w:i w:val="0"/>
                <w:color w:val="FFFFFF"/>
                <w:sz w:val="16"/>
                <w:szCs w:val="16"/>
                <w:bCs/>
              </w:rPr>
              <w:t>Status</w:t>
            </w:r>
          </w:p>
        </w:tc>
      </w:tr>
      <w:tr>
        <w:tc>
          <w:tcPr>
            <w:tcW w:type="dxa" w:w="1892"/>
          </w:tcPr>
          <w:p>
            <w:r/>
            <w:r>
              <w:rPr>
                <w:rFonts w:ascii="Calibri" w:hAnsi="Calibri" w:cs="Calibri" w:eastAsia="Calibri"/>
                <w:b w:val="0"/>
                <w:i w:val="0"/>
                <w:sz w:val="16"/>
                <w:szCs w:val="16"/>
              </w:rPr>
              <w:t>V-2026-0412</w:t>
            </w:r>
          </w:p>
        </w:tc>
        <w:tc>
          <w:tcPr>
            <w:tcW w:type="dxa" w:w="1892"/>
          </w:tcPr>
          <w:p>
            <w:r/>
            <w:r>
              <w:rPr>
                <w:rFonts w:ascii="Calibri" w:hAnsi="Calibri" w:cs="Calibri" w:eastAsia="Calibri"/>
                <w:b w:val="0"/>
                <w:i w:val="0"/>
                <w:sz w:val="16"/>
                <w:szCs w:val="16"/>
              </w:rPr>
              <w:t>External scan</w:t>
            </w:r>
          </w:p>
        </w:tc>
        <w:tc>
          <w:tcPr>
            <w:tcW w:type="dxa" w:w="1892"/>
          </w:tcPr>
          <w:p>
            <w:r/>
            <w:r>
              <w:rPr>
                <w:rFonts w:ascii="Calibri" w:hAnsi="Calibri" w:cs="Calibri" w:eastAsia="Calibri"/>
                <w:b w:val="0"/>
                <w:i w:val="0"/>
                <w:sz w:val="16"/>
                <w:szCs w:val="16"/>
              </w:rPr>
              <w:t>Patient portal reverse proxy</w:t>
            </w:r>
          </w:p>
        </w:tc>
        <w:tc>
          <w:tcPr>
            <w:tcW w:type="dxa" w:w="1892"/>
          </w:tcPr>
          <w:p>
            <w:r/>
            <w:r>
              <w:rPr>
                <w:rFonts w:ascii="Calibri" w:hAnsi="Calibri" w:cs="Calibri" w:eastAsia="Calibri"/>
                <w:b w:val="0"/>
                <w:i w:val="0"/>
                <w:sz w:val="16"/>
                <w:szCs w:val="16"/>
              </w:rPr>
              <w:t>Web server critical remote code execution (CVE reference)</w:t>
            </w:r>
          </w:p>
        </w:tc>
        <w:tc>
          <w:tcPr>
            <w:tcW w:type="dxa" w:w="1892"/>
          </w:tcPr>
          <w:p>
            <w:r/>
            <w:r>
              <w:rPr>
                <w:rFonts w:ascii="Calibri" w:hAnsi="Calibri" w:cs="Calibri" w:eastAsia="Calibri"/>
                <w:b w:val="0"/>
                <w:i w:val="0"/>
                <w:sz w:val="16"/>
                <w:szCs w:val="16"/>
              </w:rPr>
              <w:t>Critical, internet-facing, known exploited</w:t>
            </w:r>
          </w:p>
        </w:tc>
        <w:tc>
          <w:tcPr>
            <w:tcW w:type="dxa" w:w="1892"/>
          </w:tcPr>
          <w:p>
            <w:r/>
            <w:r>
              <w:rPr>
                <w:rFonts w:ascii="Calibri" w:hAnsi="Calibri" w:cs="Calibri" w:eastAsia="Calibri"/>
                <w:b w:val="0"/>
                <w:i w:val="0"/>
                <w:sz w:val="16"/>
                <w:szCs w:val="16"/>
              </w:rPr>
              <w:t>Application Manager</w:t>
            </w:r>
          </w:p>
        </w:tc>
        <w:tc>
          <w:tcPr>
            <w:tcW w:type="dxa" w:w="1892"/>
          </w:tcPr>
          <w:p>
            <w:r/>
            <w:r>
              <w:rPr>
                <w:rFonts w:ascii="Calibri" w:hAnsi="Calibri" w:cs="Calibri" w:eastAsia="Calibri"/>
                <w:b w:val="0"/>
                <w:i w:val="0"/>
                <w:sz w:val="16"/>
                <w:szCs w:val="16"/>
              </w:rPr>
              <w:t>02/09/2026, due 04/09/2026</w:t>
            </w:r>
          </w:p>
        </w:tc>
        <w:tc>
          <w:tcPr>
            <w:tcW w:type="dxa" w:w="1892"/>
          </w:tcPr>
          <w:p>
            <w:r/>
            <w:r>
              <w:rPr>
                <w:rFonts w:ascii="Calibri" w:hAnsi="Calibri" w:cs="Calibri" w:eastAsia="Calibri"/>
                <w:b w:val="0"/>
                <w:i w:val="0"/>
                <w:sz w:val="16"/>
                <w:szCs w:val="16"/>
              </w:rPr>
              <w:t>Verified 03/09/2026</w:t>
            </w:r>
          </w:p>
        </w:tc>
      </w:tr>
      <w:tr>
        <w:tc>
          <w:tcPr>
            <w:tcW w:type="dxa" w:w="1892"/>
          </w:tcPr>
          <w:p>
            <w:r/>
            <w:r>
              <w:rPr>
                <w:rFonts w:ascii="Calibri" w:hAnsi="Calibri" w:cs="Calibri" w:eastAsia="Calibri"/>
                <w:b w:val="0"/>
                <w:i w:val="0"/>
                <w:sz w:val="16"/>
                <w:szCs w:val="16"/>
              </w:rPr>
              <w:t>V-2026-0398</w:t>
            </w:r>
          </w:p>
        </w:tc>
        <w:tc>
          <w:tcPr>
            <w:tcW w:type="dxa" w:w="1892"/>
          </w:tcPr>
          <w:p>
            <w:r/>
            <w:r>
              <w:rPr>
                <w:rFonts w:ascii="Calibri" w:hAnsi="Calibri" w:cs="Calibri" w:eastAsia="Calibri"/>
                <w:b w:val="0"/>
                <w:i w:val="0"/>
                <w:sz w:val="16"/>
                <w:szCs w:val="16"/>
              </w:rPr>
              <w:t>Authenticated scan</w:t>
            </w:r>
          </w:p>
        </w:tc>
        <w:tc>
          <w:tcPr>
            <w:tcW w:type="dxa" w:w="1892"/>
          </w:tcPr>
          <w:p>
            <w:r/>
            <w:r>
              <w:rPr>
                <w:rFonts w:ascii="Calibri" w:hAnsi="Calibri" w:cs="Calibri" w:eastAsia="Calibri"/>
                <w:b w:val="0"/>
                <w:i w:val="0"/>
                <w:sz w:val="16"/>
                <w:szCs w:val="16"/>
              </w:rPr>
              <w:t>SRV-HIS-APP01</w:t>
            </w:r>
          </w:p>
        </w:tc>
        <w:tc>
          <w:tcPr>
            <w:tcW w:type="dxa" w:w="1892"/>
          </w:tcPr>
          <w:p>
            <w:r/>
            <w:r>
              <w:rPr>
                <w:rFonts w:ascii="Calibri" w:hAnsi="Calibri" w:cs="Calibri" w:eastAsia="Calibri"/>
                <w:b w:val="0"/>
                <w:i w:val="0"/>
                <w:sz w:val="16"/>
                <w:szCs w:val="16"/>
              </w:rPr>
              <w:t>Windows cumulative update missing</w:t>
            </w:r>
          </w:p>
        </w:tc>
        <w:tc>
          <w:tcPr>
            <w:tcW w:type="dxa" w:w="1892"/>
          </w:tcPr>
          <w:p>
            <w:r/>
            <w:r>
              <w:rPr>
                <w:rFonts w:ascii="Calibri" w:hAnsi="Calibri" w:cs="Calibri" w:eastAsia="Calibri"/>
                <w:b w:val="0"/>
                <w:i w:val="0"/>
                <w:sz w:val="16"/>
                <w:szCs w:val="16"/>
              </w:rPr>
              <w:t>High, internal</w:t>
            </w:r>
          </w:p>
        </w:tc>
        <w:tc>
          <w:tcPr>
            <w:tcW w:type="dxa" w:w="1892"/>
          </w:tcPr>
          <w:p>
            <w:r/>
            <w:r>
              <w:rPr>
                <w:rFonts w:ascii="Calibri" w:hAnsi="Calibri" w:cs="Calibri" w:eastAsia="Calibri"/>
                <w:b w:val="0"/>
                <w:i w:val="0"/>
                <w:sz w:val="16"/>
                <w:szCs w:val="16"/>
              </w:rPr>
              <w:t>IT Infrastructure Manager</w:t>
            </w:r>
          </w:p>
        </w:tc>
        <w:tc>
          <w:tcPr>
            <w:tcW w:type="dxa" w:w="1892"/>
          </w:tcPr>
          <w:p>
            <w:r/>
            <w:r>
              <w:rPr>
                <w:rFonts w:ascii="Calibri" w:hAnsi="Calibri" w:cs="Calibri" w:eastAsia="Calibri"/>
                <w:b w:val="0"/>
                <w:i w:val="0"/>
                <w:sz w:val="16"/>
                <w:szCs w:val="16"/>
              </w:rPr>
              <w:t>15/08/2026, due 14/09/2026</w:t>
            </w:r>
          </w:p>
        </w:tc>
        <w:tc>
          <w:tcPr>
            <w:tcW w:type="dxa" w:w="1892"/>
          </w:tcPr>
          <w:p>
            <w:r/>
            <w:r>
              <w:rPr>
                <w:rFonts w:ascii="Calibri" w:hAnsi="Calibri" w:cs="Calibri" w:eastAsia="Calibri"/>
                <w:b w:val="0"/>
                <w:i w:val="0"/>
                <w:sz w:val="16"/>
                <w:szCs w:val="16"/>
              </w:rPr>
              <w:t>Verified 10/09/2026</w:t>
            </w:r>
          </w:p>
        </w:tc>
      </w:tr>
      <w:tr>
        <w:tc>
          <w:tcPr>
            <w:tcW w:type="dxa" w:w="1892"/>
          </w:tcPr>
          <w:p>
            <w:r/>
            <w:r>
              <w:rPr>
                <w:rFonts w:ascii="Calibri" w:hAnsi="Calibri" w:cs="Calibri" w:eastAsia="Calibri"/>
                <w:b w:val="0"/>
                <w:i w:val="0"/>
                <w:sz w:val="16"/>
                <w:szCs w:val="16"/>
              </w:rPr>
              <w:t>V-2026-0377</w:t>
            </w:r>
          </w:p>
        </w:tc>
        <w:tc>
          <w:tcPr>
            <w:tcW w:type="dxa" w:w="1892"/>
          </w:tcPr>
          <w:p>
            <w:r/>
            <w:r>
              <w:rPr>
                <w:rFonts w:ascii="Calibri" w:hAnsi="Calibri" w:cs="Calibri" w:eastAsia="Calibri"/>
                <w:b w:val="0"/>
                <w:i w:val="0"/>
                <w:sz w:val="16"/>
                <w:szCs w:val="16"/>
              </w:rPr>
              <w:t>Penetration test 2026</w:t>
            </w:r>
          </w:p>
        </w:tc>
        <w:tc>
          <w:tcPr>
            <w:tcW w:type="dxa" w:w="1892"/>
          </w:tcPr>
          <w:p>
            <w:r/>
            <w:r>
              <w:rPr>
                <w:rFonts w:ascii="Calibri" w:hAnsi="Calibri" w:cs="Calibri" w:eastAsia="Calibri"/>
                <w:b w:val="0"/>
                <w:i w:val="0"/>
                <w:sz w:val="16"/>
                <w:szCs w:val="16"/>
              </w:rPr>
              <w:t>HIS web module</w:t>
            </w:r>
          </w:p>
        </w:tc>
        <w:tc>
          <w:tcPr>
            <w:tcW w:type="dxa" w:w="1892"/>
          </w:tcPr>
          <w:p>
            <w:r/>
            <w:r>
              <w:rPr>
                <w:rFonts w:ascii="Calibri" w:hAnsi="Calibri" w:cs="Calibri" w:eastAsia="Calibri"/>
                <w:b w:val="0"/>
                <w:i w:val="0"/>
                <w:sz w:val="16"/>
                <w:szCs w:val="16"/>
              </w:rPr>
              <w:t>Insecure direct object reference on report viewer</w:t>
            </w:r>
          </w:p>
        </w:tc>
        <w:tc>
          <w:tcPr>
            <w:tcW w:type="dxa" w:w="1892"/>
          </w:tcPr>
          <w:p>
            <w:r/>
            <w:r>
              <w:rPr>
                <w:rFonts w:ascii="Calibri" w:hAnsi="Calibri" w:cs="Calibri" w:eastAsia="Calibri"/>
                <w:b w:val="0"/>
                <w:i w:val="0"/>
                <w:sz w:val="16"/>
                <w:szCs w:val="16"/>
              </w:rPr>
              <w:t>High, internal</w:t>
            </w:r>
          </w:p>
        </w:tc>
        <w:tc>
          <w:tcPr>
            <w:tcW w:type="dxa" w:w="1892"/>
          </w:tcPr>
          <w:p>
            <w:r/>
            <w:r>
              <w:rPr>
                <w:rFonts w:ascii="Calibri" w:hAnsi="Calibri" w:cs="Calibri" w:eastAsia="Calibri"/>
                <w:b w:val="0"/>
                <w:i w:val="0"/>
                <w:sz w:val="16"/>
                <w:szCs w:val="16"/>
              </w:rPr>
              <w:t>HIS Vendor A via CIO</w:t>
            </w:r>
          </w:p>
        </w:tc>
        <w:tc>
          <w:tcPr>
            <w:tcW w:type="dxa" w:w="1892"/>
          </w:tcPr>
          <w:p>
            <w:r/>
            <w:r>
              <w:rPr>
                <w:rFonts w:ascii="Calibri" w:hAnsi="Calibri" w:cs="Calibri" w:eastAsia="Calibri"/>
                <w:b w:val="0"/>
                <w:i w:val="0"/>
                <w:sz w:val="16"/>
                <w:szCs w:val="16"/>
              </w:rPr>
              <w:t>01/08/2026, due 31/08/2026</w:t>
            </w:r>
          </w:p>
        </w:tc>
        <w:tc>
          <w:tcPr>
            <w:tcW w:type="dxa" w:w="1892"/>
          </w:tcPr>
          <w:p>
            <w:r/>
            <w:r>
              <w:rPr>
                <w:rFonts w:ascii="Calibri" w:hAnsi="Calibri" w:cs="Calibri" w:eastAsia="Calibri"/>
                <w:b w:val="0"/>
                <w:i w:val="0"/>
                <w:sz w:val="16"/>
                <w:szCs w:val="16"/>
              </w:rPr>
              <w:t>Open (vendor fix scheduled 10/2026, overdue)</w:t>
            </w:r>
          </w:p>
        </w:tc>
      </w:tr>
      <w:tr>
        <w:tc>
          <w:tcPr>
            <w:tcW w:type="dxa" w:w="1892"/>
          </w:tcPr>
          <w:p>
            <w:r/>
            <w:r>
              <w:rPr>
                <w:rFonts w:ascii="Calibri" w:hAnsi="Calibri" w:cs="Calibri" w:eastAsia="Calibri"/>
                <w:b w:val="0"/>
                <w:i w:val="0"/>
                <w:sz w:val="16"/>
                <w:szCs w:val="16"/>
              </w:rPr>
              <w:t>V-2026-0350</w:t>
            </w:r>
          </w:p>
        </w:tc>
        <w:tc>
          <w:tcPr>
            <w:tcW w:type="dxa" w:w="1892"/>
          </w:tcPr>
          <w:p>
            <w:r/>
            <w:r>
              <w:rPr>
                <w:rFonts w:ascii="Calibri" w:hAnsi="Calibri" w:cs="Calibri" w:eastAsia="Calibri"/>
                <w:b w:val="0"/>
                <w:i w:val="0"/>
                <w:sz w:val="16"/>
                <w:szCs w:val="16"/>
              </w:rPr>
              <w:t>Vendor advisory</w:t>
            </w:r>
          </w:p>
        </w:tc>
        <w:tc>
          <w:tcPr>
            <w:tcW w:type="dxa" w:w="1892"/>
          </w:tcPr>
          <w:p>
            <w:r/>
            <w:r>
              <w:rPr>
                <w:rFonts w:ascii="Calibri" w:hAnsi="Calibri" w:cs="Calibri" w:eastAsia="Calibri"/>
                <w:b w:val="0"/>
                <w:i w:val="0"/>
                <w:sz w:val="16"/>
                <w:szCs w:val="16"/>
              </w:rPr>
              <w:t>MED-IMG-002</w:t>
            </w:r>
          </w:p>
        </w:tc>
        <w:tc>
          <w:tcPr>
            <w:tcW w:type="dxa" w:w="1892"/>
          </w:tcPr>
          <w:p>
            <w:r/>
            <w:r>
              <w:rPr>
                <w:rFonts w:ascii="Calibri" w:hAnsi="Calibri" w:cs="Calibri" w:eastAsia="Calibri"/>
                <w:b w:val="0"/>
                <w:i w:val="0"/>
                <w:sz w:val="16"/>
                <w:szCs w:val="16"/>
              </w:rPr>
              <w:t>Embedded OS vulnerability</w:t>
            </w:r>
          </w:p>
        </w:tc>
        <w:tc>
          <w:tcPr>
            <w:tcW w:type="dxa" w:w="1892"/>
          </w:tcPr>
          <w:p>
            <w:r/>
            <w:r>
              <w:rPr>
                <w:rFonts w:ascii="Calibri" w:hAnsi="Calibri" w:cs="Calibri" w:eastAsia="Calibri"/>
                <w:b w:val="0"/>
                <w:i w:val="0"/>
                <w:sz w:val="16"/>
                <w:szCs w:val="16"/>
              </w:rPr>
              <w:t>High, isolated VLAN</w:t>
            </w:r>
          </w:p>
        </w:tc>
        <w:tc>
          <w:tcPr>
            <w:tcW w:type="dxa" w:w="1892"/>
          </w:tcPr>
          <w:p>
            <w:r/>
            <w:r>
              <w:rPr>
                <w:rFonts w:ascii="Calibri" w:hAnsi="Calibri" w:cs="Calibri" w:eastAsia="Calibri"/>
                <w:b w:val="0"/>
                <w:i w:val="0"/>
                <w:sz w:val="16"/>
                <w:szCs w:val="16"/>
              </w:rPr>
              <w:t>Director of Radiology</w:t>
            </w:r>
          </w:p>
        </w:tc>
        <w:tc>
          <w:tcPr>
            <w:tcW w:type="dxa" w:w="1892"/>
          </w:tcPr>
          <w:p>
            <w:r/>
            <w:r>
              <w:rPr>
                <w:rFonts w:ascii="Calibri" w:hAnsi="Calibri" w:cs="Calibri" w:eastAsia="Calibri"/>
                <w:b w:val="0"/>
                <w:i w:val="0"/>
                <w:sz w:val="16"/>
                <w:szCs w:val="16"/>
              </w:rPr>
              <w:t>20/07/2026, due 19/08/2026</w:t>
            </w:r>
          </w:p>
        </w:tc>
        <w:tc>
          <w:tcPr>
            <w:tcW w:type="dxa" w:w="1892"/>
          </w:tcPr>
          <w:p>
            <w:r/>
            <w:r>
              <w:rPr>
                <w:rFonts w:ascii="Calibri" w:hAnsi="Calibri" w:cs="Calibri" w:eastAsia="Calibri"/>
                <w:b w:val="0"/>
                <w:i w:val="0"/>
                <w:sz w:val="16"/>
                <w:szCs w:val="16"/>
              </w:rPr>
              <w:t>Exception EXC-2026-007</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Generate the tracker from the scanning tool and ticketing system rather than by hand.</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Tracking thousands of low findings and losing sight of critical ones.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ID.RA-01: Vulnerabilities in assets are identified, validated, and recorded</w:t>
            </w:r>
          </w:p>
          <w:p>
            <w:r>
              <w:rPr>
                <w:rFonts w:ascii="Calibri" w:hAnsi="Calibri" w:cs="Calibri" w:eastAsia="Calibri"/>
                <w:b w:val="0"/>
                <w:i w:val="0"/>
                <w:sz w:val="18"/>
                <w:szCs w:val="18"/>
              </w:rPr>
              <w:t>ID.RA-06: Risk responses are chosen, prioritized, planned, tracked, and communicated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RA-5, PM-4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8.8</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ID-PRC-002: Vulnerability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ID-REG-006  |  Vulnerability Remediation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