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Risk Assessment Report</w:t>
      </w:r>
    </w:p>
    <w:p>
      <w:pPr>
        <w:spacing w:after="80" w:before="0"/>
      </w:pPr>
      <w:r>
        <w:rPr>
          <w:rFonts w:ascii="Calibri" w:hAnsi="Calibri" w:cs="Calibri" w:eastAsia="Calibri"/>
          <w:b w:val="0"/>
          <w:i w:val="0"/>
          <w:color w:val="595959"/>
          <w:sz w:val="18"/>
          <w:szCs w:val="18"/>
        </w:rPr>
        <w:t>ID-RPT-003  |  Report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ID-RPT-003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Risk Assessment Report</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18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18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Report</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s.54 (annual risk assessment; summary to NCSA within 30 days); CRC Notification on CII duties 2024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18 September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presents the results of the periodic cybersecurity risk assessment, including scope, method, key risks, and recommendations, and serves as the annual risk assessment for CII under CSA s.54.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report is used by the units and roles named in its parent document (GV-PRC-001) and covers the activities that document defines.</w:t>
      </w:r>
    </w:p>
    <w:p>
      <w:pPr>
        <w:pStyle w:val="Heading2"/>
        <w:keepNext/>
        <w:spacing w:before="120" w:after="80"/>
      </w:pPr>
      <w:r>
        <w:rPr>
          <w:rFonts w:ascii="Calibri" w:hAnsi="Calibri" w:cs="Calibri" w:eastAsia="Calibri"/>
          <w:b/>
          <w:i w:val="0"/>
          <w:color w:val="1F3864"/>
          <w:sz w:val="24"/>
          <w:szCs w:val="24"/>
          <w:bCs/>
        </w:rPr>
        <w:t>4.3 Executive Summary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the overall risk position and top messages first (Pyramid Principle).</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Overall cyber risk is above appetite in two areas: ransomware impact on clinical systems and credential misuse in HIS. Two of 18 risks are High; none are Critical (down from three Critical in 2025). Priorities for 2027: complete privileged access management, extend MFA to all HIS access, and finish medical device network isolation.</w:t>
      </w:r>
    </w:p>
    <w:p>
      <w:pPr>
        <w:pStyle w:val="Heading2"/>
        <w:keepNext/>
        <w:spacing w:before="120" w:after="80"/>
      </w:pPr>
      <w:r>
        <w:rPr>
          <w:rFonts w:ascii="Calibri" w:hAnsi="Calibri" w:cs="Calibri" w:eastAsia="Calibri"/>
          <w:b/>
          <w:i w:val="0"/>
          <w:color w:val="1F3864"/>
          <w:sz w:val="24"/>
          <w:szCs w:val="24"/>
          <w:bCs/>
        </w:rPr>
        <w:t>4.4 Scope and Method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scope, period, assessor, and method used.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Scope: all CMC critical information infrastructure systems (HIS, PACS, LIS, network, identity) at both hospitals.</w:t>
      </w:r>
    </w:p>
    <w:p>
      <w:pPr>
        <w:pStyle w:val="ListBullet"/>
        <w:spacing w:after="40"/>
      </w:pPr>
      <w:r>
        <w:rPr>
          <w:rFonts w:ascii="Calibri" w:hAnsi="Calibri" w:cs="Calibri" w:eastAsia="Calibri"/>
          <w:b w:val="0"/>
          <w:i w:val="0"/>
          <w:sz w:val="21"/>
          <w:szCs w:val="21"/>
        </w:rPr>
        <w:t>Period: August to October 2026.</w:t>
      </w:r>
    </w:p>
    <w:p>
      <w:pPr>
        <w:pStyle w:val="ListBullet"/>
        <w:spacing w:after="40"/>
      </w:pPr>
      <w:r>
        <w:rPr>
          <w:rFonts w:ascii="Calibri" w:hAnsi="Calibri" w:cs="Calibri" w:eastAsia="Calibri"/>
          <w:b w:val="0"/>
          <w:i w:val="0"/>
          <w:sz w:val="21"/>
          <w:szCs w:val="21"/>
        </w:rPr>
        <w:t>Assessor: external assessor engaged under CSA s.54, with the Security Manager.</w:t>
      </w:r>
    </w:p>
    <w:p>
      <w:pPr>
        <w:pStyle w:val="ListBullet"/>
        <w:spacing w:after="40"/>
      </w:pPr>
      <w:r>
        <w:rPr>
          <w:rFonts w:ascii="Calibri" w:hAnsi="Calibri" w:cs="Calibri" w:eastAsia="Calibri"/>
          <w:b w:val="0"/>
          <w:i w:val="0"/>
          <w:sz w:val="21"/>
          <w:szCs w:val="21"/>
        </w:rPr>
        <w:t>Method: GV-PRC-001; inputs from the 2026 penetration test, IA-2025-04, MSSP incident data, and ThaiCERT advisories.</w:t>
      </w:r>
    </w:p>
    <w:p>
      <w:pPr>
        <w:pStyle w:val="Heading2"/>
        <w:keepNext/>
        <w:spacing w:before="120" w:after="80"/>
      </w:pPr>
      <w:r>
        <w:rPr>
          <w:rFonts w:ascii="Calibri" w:hAnsi="Calibri" w:cs="Calibri" w:eastAsia="Calibri"/>
          <w:b/>
          <w:i w:val="0"/>
          <w:color w:val="1F3864"/>
          <w:sz w:val="24"/>
          <w:szCs w:val="24"/>
          <w:bCs/>
        </w:rPr>
        <w:t>4.5 Key Risks and Recommendations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Summarize top risks with rating, trend, and recommendation.</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38"/>
        <w:gridCol w:w="2338"/>
        <w:gridCol w:w="2338"/>
        <w:gridCol w:w="2338"/>
      </w:tblGrid>
      <w:tr>
        <w:trPr>
          <w:tblHeader w:val="true"/>
        </w:trPr>
        <w:tc>
          <w:tcPr>
            <w:tcW w:type="dxa" w:w="2339"/>
            <w:shd w:val="clear" w:color="auto" w:fill="1F3864"/>
          </w:tcPr>
          <w:p>
            <w:r/>
            <w:r>
              <w:rPr>
                <w:rFonts w:ascii="Calibri" w:hAnsi="Calibri" w:cs="Calibri" w:eastAsia="Calibri"/>
                <w:b/>
                <w:i w:val="0"/>
                <w:color w:val="FFFFFF"/>
                <w:sz w:val="18"/>
                <w:szCs w:val="18"/>
                <w:bCs/>
              </w:rPr>
              <w:t>Risk</w:t>
            </w:r>
          </w:p>
        </w:tc>
        <w:tc>
          <w:tcPr>
            <w:tcW w:type="dxa" w:w="2339"/>
            <w:shd w:val="clear" w:color="auto" w:fill="1F3864"/>
          </w:tcPr>
          <w:p>
            <w:r/>
            <w:r>
              <w:rPr>
                <w:rFonts w:ascii="Calibri" w:hAnsi="Calibri" w:cs="Calibri" w:eastAsia="Calibri"/>
                <w:b/>
                <w:i w:val="0"/>
                <w:color w:val="FFFFFF"/>
                <w:sz w:val="18"/>
                <w:szCs w:val="18"/>
                <w:bCs/>
              </w:rPr>
              <w:t>Residual</w:t>
            </w:r>
          </w:p>
        </w:tc>
        <w:tc>
          <w:tcPr>
            <w:tcW w:type="dxa" w:w="2339"/>
            <w:shd w:val="clear" w:color="auto" w:fill="1F3864"/>
          </w:tcPr>
          <w:p>
            <w:r/>
            <w:r>
              <w:rPr>
                <w:rFonts w:ascii="Calibri" w:hAnsi="Calibri" w:cs="Calibri" w:eastAsia="Calibri"/>
                <w:b/>
                <w:i w:val="0"/>
                <w:color w:val="FFFFFF"/>
                <w:sz w:val="18"/>
                <w:szCs w:val="18"/>
                <w:bCs/>
              </w:rPr>
              <w:t>Trend</w:t>
            </w:r>
          </w:p>
        </w:tc>
        <w:tc>
          <w:tcPr>
            <w:tcW w:type="dxa" w:w="2339"/>
            <w:shd w:val="clear" w:color="auto" w:fill="1F3864"/>
          </w:tcPr>
          <w:p>
            <w:r/>
            <w:r>
              <w:rPr>
                <w:rFonts w:ascii="Calibri" w:hAnsi="Calibri" w:cs="Calibri" w:eastAsia="Calibri"/>
                <w:b/>
                <w:i w:val="0"/>
                <w:color w:val="FFFFFF"/>
                <w:sz w:val="18"/>
                <w:szCs w:val="18"/>
                <w:bCs/>
              </w:rPr>
              <w:t>Recommendation</w:t>
            </w:r>
          </w:p>
        </w:tc>
      </w:tr>
      <w:tr>
        <w:tc>
          <w:tcPr>
            <w:tcW w:type="dxa" w:w="2339"/>
          </w:tcPr>
          <w:p>
            <w:r/>
            <w:r>
              <w:rPr>
                <w:rFonts w:ascii="Calibri" w:hAnsi="Calibri" w:cs="Calibri" w:eastAsia="Calibri"/>
                <w:b w:val="0"/>
                <w:i w:val="0"/>
                <w:sz w:val="18"/>
                <w:szCs w:val="18"/>
              </w:rPr>
              <w:t>R-001 Ransomware on clinical systems</w:t>
            </w:r>
          </w:p>
        </w:tc>
        <w:tc>
          <w:tcPr>
            <w:tcW w:type="dxa" w:w="2339"/>
          </w:tcPr>
          <w:p>
            <w:r/>
            <w:r>
              <w:rPr>
                <w:rFonts w:ascii="Calibri" w:hAnsi="Calibri" w:cs="Calibri" w:eastAsia="Calibri"/>
                <w:b w:val="0"/>
                <w:i w:val="0"/>
                <w:sz w:val="18"/>
                <w:szCs w:val="18"/>
              </w:rPr>
              <w:t>12 High</w:t>
            </w:r>
          </w:p>
        </w:tc>
        <w:tc>
          <w:tcPr>
            <w:tcW w:type="dxa" w:w="2339"/>
          </w:tcPr>
          <w:p>
            <w:r/>
            <w:r>
              <w:rPr>
                <w:rFonts w:ascii="Calibri" w:hAnsi="Calibri" w:cs="Calibri" w:eastAsia="Calibri"/>
                <w:b w:val="0"/>
                <w:i w:val="0"/>
                <w:sz w:val="18"/>
                <w:szCs w:val="18"/>
              </w:rPr>
              <w:t>Improving (16 to 12)</w:t>
            </w:r>
          </w:p>
        </w:tc>
        <w:tc>
          <w:tcPr>
            <w:tcW w:type="dxa" w:w="2339"/>
          </w:tcPr>
          <w:p>
            <w:r/>
            <w:r>
              <w:rPr>
                <w:rFonts w:ascii="Calibri" w:hAnsi="Calibri" w:cs="Calibri" w:eastAsia="Calibri"/>
                <w:b w:val="0"/>
                <w:i w:val="0"/>
                <w:sz w:val="18"/>
                <w:szCs w:val="18"/>
              </w:rPr>
              <w:t>Complete PAM and server segmentation (RTP-01)</w:t>
            </w:r>
          </w:p>
        </w:tc>
      </w:tr>
      <w:tr>
        <w:tc>
          <w:tcPr>
            <w:tcW w:type="dxa" w:w="2339"/>
          </w:tcPr>
          <w:p>
            <w:r/>
            <w:r>
              <w:rPr>
                <w:rFonts w:ascii="Calibri" w:hAnsi="Calibri" w:cs="Calibri" w:eastAsia="Calibri"/>
                <w:b w:val="0"/>
                <w:i w:val="0"/>
                <w:sz w:val="18"/>
                <w:szCs w:val="18"/>
              </w:rPr>
              <w:t>R-002 Credential misuse in HIS</w:t>
            </w:r>
          </w:p>
        </w:tc>
        <w:tc>
          <w:tcPr>
            <w:tcW w:type="dxa" w:w="2339"/>
          </w:tcPr>
          <w:p>
            <w:r/>
            <w:r>
              <w:rPr>
                <w:rFonts w:ascii="Calibri" w:hAnsi="Calibri" w:cs="Calibri" w:eastAsia="Calibri"/>
                <w:b w:val="0"/>
                <w:i w:val="0"/>
                <w:sz w:val="18"/>
                <w:szCs w:val="18"/>
              </w:rPr>
              <w:t>12 High</w:t>
            </w:r>
          </w:p>
        </w:tc>
        <w:tc>
          <w:tcPr>
            <w:tcW w:type="dxa" w:w="2339"/>
          </w:tcPr>
          <w:p>
            <w:r/>
            <w:r>
              <w:rPr>
                <w:rFonts w:ascii="Calibri" w:hAnsi="Calibri" w:cs="Calibri" w:eastAsia="Calibri"/>
                <w:b w:val="0"/>
                <w:i w:val="0"/>
                <w:sz w:val="18"/>
                <w:szCs w:val="18"/>
              </w:rPr>
              <w:t>Stable</w:t>
            </w:r>
          </w:p>
        </w:tc>
        <w:tc>
          <w:tcPr>
            <w:tcW w:type="dxa" w:w="2339"/>
          </w:tcPr>
          <w:p>
            <w:r/>
            <w:r>
              <w:rPr>
                <w:rFonts w:ascii="Calibri" w:hAnsi="Calibri" w:cs="Calibri" w:eastAsia="Calibri"/>
                <w:b w:val="0"/>
                <w:i w:val="0"/>
                <w:sz w:val="18"/>
                <w:szCs w:val="18"/>
              </w:rPr>
              <w:t>MFA for all HIS access through badge tap plus PIN (RTP-02)</w:t>
            </w:r>
          </w:p>
        </w:tc>
      </w:tr>
      <w:tr>
        <w:tc>
          <w:tcPr>
            <w:tcW w:type="dxa" w:w="2339"/>
          </w:tcPr>
          <w:p>
            <w:r/>
            <w:r>
              <w:rPr>
                <w:rFonts w:ascii="Calibri" w:hAnsi="Calibri" w:cs="Calibri" w:eastAsia="Calibri"/>
                <w:b w:val="0"/>
                <w:i w:val="0"/>
                <w:sz w:val="18"/>
                <w:szCs w:val="18"/>
              </w:rPr>
              <w:t>R-003 Vendor remote access</w:t>
            </w:r>
          </w:p>
        </w:tc>
        <w:tc>
          <w:tcPr>
            <w:tcW w:type="dxa" w:w="2339"/>
          </w:tcPr>
          <w:p>
            <w:r/>
            <w:r>
              <w:rPr>
                <w:rFonts w:ascii="Calibri" w:hAnsi="Calibri" w:cs="Calibri" w:eastAsia="Calibri"/>
                <w:b w:val="0"/>
                <w:i w:val="0"/>
                <w:sz w:val="18"/>
                <w:szCs w:val="18"/>
              </w:rPr>
              <w:t>8 Medium</w:t>
            </w:r>
          </w:p>
        </w:tc>
        <w:tc>
          <w:tcPr>
            <w:tcW w:type="dxa" w:w="2339"/>
          </w:tcPr>
          <w:p>
            <w:r/>
            <w:r>
              <w:rPr>
                <w:rFonts w:ascii="Calibri" w:hAnsi="Calibri" w:cs="Calibri" w:eastAsia="Calibri"/>
                <w:b w:val="0"/>
                <w:i w:val="0"/>
                <w:sz w:val="18"/>
                <w:szCs w:val="18"/>
              </w:rPr>
              <w:t>Improving (12 to 8)</w:t>
            </w:r>
          </w:p>
        </w:tc>
        <w:tc>
          <w:tcPr>
            <w:tcW w:type="dxa" w:w="2339"/>
          </w:tcPr>
          <w:p>
            <w:r/>
            <w:r>
              <w:rPr>
                <w:rFonts w:ascii="Calibri" w:hAnsi="Calibri" w:cs="Calibri" w:eastAsia="Calibri"/>
                <w:b w:val="0"/>
                <w:i w:val="0"/>
                <w:sz w:val="18"/>
                <w:szCs w:val="18"/>
              </w:rPr>
              <w:t>Finish jump host onboarding for remaining vendors</w:t>
            </w:r>
          </w:p>
        </w:tc>
      </w:tr>
      <w:tr>
        <w:tc>
          <w:tcPr>
            <w:tcW w:type="dxa" w:w="2339"/>
          </w:tcPr>
          <w:p>
            <w:r/>
            <w:r>
              <w:rPr>
                <w:rFonts w:ascii="Calibri" w:hAnsi="Calibri" w:cs="Calibri" w:eastAsia="Calibri"/>
                <w:b w:val="0"/>
                <w:i w:val="0"/>
                <w:sz w:val="18"/>
                <w:szCs w:val="18"/>
              </w:rPr>
              <w:t>R-011 Personal data leakage via Microsoft 365</w:t>
            </w:r>
          </w:p>
        </w:tc>
        <w:tc>
          <w:tcPr>
            <w:tcW w:type="dxa" w:w="2339"/>
          </w:tcPr>
          <w:p>
            <w:r/>
            <w:r>
              <w:rPr>
                <w:rFonts w:ascii="Calibri" w:hAnsi="Calibri" w:cs="Calibri" w:eastAsia="Calibri"/>
                <w:b w:val="0"/>
                <w:i w:val="0"/>
                <w:sz w:val="18"/>
                <w:szCs w:val="18"/>
              </w:rPr>
              <w:t>9 Medium</w:t>
            </w:r>
          </w:p>
        </w:tc>
        <w:tc>
          <w:tcPr>
            <w:tcW w:type="dxa" w:w="2339"/>
          </w:tcPr>
          <w:p>
            <w:r/>
            <w:r>
              <w:rPr>
                <w:rFonts w:ascii="Calibri" w:hAnsi="Calibri" w:cs="Calibri" w:eastAsia="Calibri"/>
                <w:b w:val="0"/>
                <w:i w:val="0"/>
                <w:sz w:val="18"/>
                <w:szCs w:val="18"/>
              </w:rPr>
              <w:t>Stable</w:t>
            </w:r>
          </w:p>
        </w:tc>
        <w:tc>
          <w:tcPr>
            <w:tcW w:type="dxa" w:w="2339"/>
          </w:tcPr>
          <w:p>
            <w:r/>
            <w:r>
              <w:rPr>
                <w:rFonts w:ascii="Calibri" w:hAnsi="Calibri" w:cs="Calibri" w:eastAsia="Calibri"/>
                <w:b w:val="0"/>
                <w:i w:val="0"/>
                <w:sz w:val="18"/>
                <w:szCs w:val="18"/>
              </w:rPr>
              <w:t>Fund DLP in 2027</w:t>
            </w:r>
          </w:p>
        </w:tc>
      </w:tr>
    </w:tbl>
    <w:p>
      <w:pPr>
        <w:spacing w:after="40"/>
      </w:pPr>
    </w:p>
    <w:p>
      <w:pPr>
        <w:pStyle w:val="Heading2"/>
        <w:keepNext/>
        <w:spacing w:before="120" w:after="80"/>
      </w:pPr>
      <w:r>
        <w:rPr>
          <w:rFonts w:ascii="Calibri" w:hAnsi="Calibri" w:cs="Calibri" w:eastAsia="Calibri"/>
          <w:b/>
          <w:i w:val="0"/>
          <w:color w:val="1F3864"/>
          <w:sz w:val="24"/>
          <w:szCs w:val="24"/>
          <w:bCs/>
        </w:rPr>
        <w:t>4.6 Submission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submission to NCSA and the regulator where the organization is CII.</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For CII: submit the summary report to NCSA within 30 days of completion (CSA s.54) and to the the Ministry of Public Health (as CII regulator for the public health sector) [VERIFY]. Record the submission reference here. [VERIFY current submission deadline and format.]</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Lead with business impact and decisions; put technical detail in appendices.</w:t>
      </w:r>
    </w:p>
    <w:p>
      <w:pPr>
        <w:pStyle w:val="ListBullet"/>
        <w:spacing w:after="40"/>
      </w:pPr>
      <w:r>
        <w:rPr>
          <w:rFonts w:ascii="Calibri" w:hAnsi="Calibri" w:cs="Calibri" w:eastAsia="Calibri"/>
          <w:b w:val="0"/>
          <w:i w:val="0"/>
          <w:sz w:val="21"/>
          <w:szCs w:val="21"/>
        </w:rPr>
        <w:t>Show the trend against the previous assessment.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Delivering a vulnerability scan report and calling it a risk assessment.</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ID.RA-04: Potential impacts and likelihoods of threats exploiting vulnerabilities are identified and recorded</w:t>
            </w:r>
          </w:p>
          <w:p>
            <w:r>
              <w:rPr>
                <w:rFonts w:ascii="Calibri" w:hAnsi="Calibri" w:cs="Calibri" w:eastAsia="Calibri"/>
                <w:b w:val="0"/>
                <w:i w:val="0"/>
                <w:sz w:val="18"/>
                <w:szCs w:val="18"/>
              </w:rPr>
              <w:t>ID.RA-05: Threats, vulnerabilities, likelihoods, and impacts are used to understand inherent risk and inform prioritization</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8.2</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s.54 (annual risk assessment; summary to NCSA within 30 days); CRC Notification on CII duties 2024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GV-PRC-001: Risk Assessment and Treatment Methodology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ID-RPT-003  |  Cybersecurity Risk 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