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Vulnerability Scanning and Remediation Standard</w:t>
      </w:r>
    </w:p>
    <w:p>
      <w:pPr>
        <w:spacing w:after="80" w:before="0"/>
      </w:pPr>
      <w:r>
        <w:rPr>
          <w:rFonts w:ascii="Calibri" w:hAnsi="Calibri" w:cs="Calibri" w:eastAsia="Calibri"/>
          <w:b w:val="0"/>
          <w:i w:val="0"/>
          <w:color w:val="595959"/>
          <w:sz w:val="18"/>
          <w:szCs w:val="18"/>
        </w:rPr>
        <w:t>ID-STD-002  |  Standard  |  Risk Assessment (ID.RA)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ID-STD-002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Vulnerability Scanning and Remediation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Assessment (ID.RA)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8.8; CIS Controls v8.1 Control 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9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 May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the scope, frequency, and remediation timelines for vulnerability scanning and remediation (ID.RA-01, PR.PS-02).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Scanning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coverage and frequency.</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020"/>
        <w:gridCol w:w="5499"/>
        <w:gridCol w:w="2835"/>
      </w:tblGrid>
      <w:tr>
        <w:trPr>
          <w:tblHeader w:val="true"/>
        </w:trPr>
        <w:tc>
          <w:tcPr>
            <w:tcW w:type="dxa" w:w="1020"/>
            <w:shd w:val="clear" w:color="auto" w:fill="1F3864"/>
          </w:tcPr>
          <w:p>
            <w:r/>
            <w:r>
              <w:rPr>
                <w:rFonts w:ascii="Calibri" w:hAnsi="Calibri" w:cs="Calibri" w:eastAsia="Calibri"/>
                <w:b/>
                <w:i w:val="0"/>
                <w:color w:val="FFFFFF"/>
                <w:sz w:val="18"/>
                <w:szCs w:val="18"/>
                <w:bCs/>
              </w:rPr>
              <w:t>ID</w:t>
            </w:r>
          </w:p>
        </w:tc>
        <w:tc>
          <w:tcPr>
            <w:tcW w:type="dxa" w:w="5499"/>
            <w:shd w:val="clear" w:color="auto" w:fill="1F3864"/>
          </w:tcPr>
          <w:p>
            <w:r/>
            <w:r>
              <w:rPr>
                <w:rFonts w:ascii="Calibri" w:hAnsi="Calibri" w:cs="Calibri" w:eastAsia="Calibri"/>
                <w:b/>
                <w:i w:val="0"/>
                <w:color w:val="FFFFFF"/>
                <w:sz w:val="18"/>
                <w:szCs w:val="18"/>
                <w:bCs/>
              </w:rPr>
              <w:t>Scope</w:t>
            </w:r>
          </w:p>
        </w:tc>
        <w:tc>
          <w:tcPr>
            <w:tcW w:type="dxa" w:w="2835"/>
            <w:shd w:val="clear" w:color="auto" w:fill="1F3864"/>
          </w:tcPr>
          <w:p>
            <w:r/>
            <w:r>
              <w:rPr>
                <w:rFonts w:ascii="Calibri" w:hAnsi="Calibri" w:cs="Calibri" w:eastAsia="Calibri"/>
                <w:b/>
                <w:i w:val="0"/>
                <w:color w:val="FFFFFF"/>
                <w:sz w:val="18"/>
                <w:szCs w:val="18"/>
                <w:bCs/>
              </w:rPr>
              <w:t>Frequency</w:t>
            </w:r>
          </w:p>
        </w:tc>
      </w:tr>
      <w:tr>
        <w:tc>
          <w:tcPr>
            <w:tcW w:type="dxa" w:w="1020"/>
          </w:tcPr>
          <w:p>
            <w:r/>
            <w:r>
              <w:rPr>
                <w:rFonts w:ascii="Calibri" w:hAnsi="Calibri" w:cs="Calibri" w:eastAsia="Calibri"/>
                <w:b w:val="0"/>
                <w:i w:val="0"/>
                <w:sz w:val="18"/>
                <w:szCs w:val="18"/>
              </w:rPr>
              <w:t>VS-01</w:t>
            </w:r>
          </w:p>
        </w:tc>
        <w:tc>
          <w:tcPr>
            <w:tcW w:type="dxa" w:w="5499"/>
          </w:tcPr>
          <w:p>
            <w:r/>
            <w:r>
              <w:rPr>
                <w:rFonts w:ascii="Calibri" w:hAnsi="Calibri" w:cs="Calibri" w:eastAsia="Calibri"/>
                <w:b w:val="0"/>
                <w:i w:val="0"/>
                <w:sz w:val="18"/>
                <w:szCs w:val="18"/>
              </w:rPr>
              <w:t>Internet-facing systems (external scan)</w:t>
            </w:r>
          </w:p>
        </w:tc>
        <w:tc>
          <w:tcPr>
            <w:tcW w:type="dxa" w:w="2835"/>
          </w:tcPr>
          <w:p>
            <w:r/>
            <w:r>
              <w:rPr>
                <w:rFonts w:ascii="Calibri" w:hAnsi="Calibri" w:cs="Calibri" w:eastAsia="Calibri"/>
                <w:b w:val="0"/>
                <w:i w:val="0"/>
                <w:sz w:val="18"/>
                <w:szCs w:val="18"/>
              </w:rPr>
              <w:t>Weekly and after changes</w:t>
            </w:r>
          </w:p>
        </w:tc>
      </w:tr>
      <w:tr>
        <w:tc>
          <w:tcPr>
            <w:tcW w:type="dxa" w:w="1020"/>
          </w:tcPr>
          <w:p>
            <w:r/>
            <w:r>
              <w:rPr>
                <w:rFonts w:ascii="Calibri" w:hAnsi="Calibri" w:cs="Calibri" w:eastAsia="Calibri"/>
                <w:b w:val="0"/>
                <w:i w:val="0"/>
                <w:sz w:val="18"/>
                <w:szCs w:val="18"/>
              </w:rPr>
              <w:t>VS-02</w:t>
            </w:r>
          </w:p>
        </w:tc>
        <w:tc>
          <w:tcPr>
            <w:tcW w:type="dxa" w:w="5499"/>
          </w:tcPr>
          <w:p>
            <w:r/>
            <w:r>
              <w:rPr>
                <w:rFonts w:ascii="Calibri" w:hAnsi="Calibri" w:cs="Calibri" w:eastAsia="Calibri"/>
                <w:b w:val="0"/>
                <w:i w:val="0"/>
                <w:sz w:val="18"/>
                <w:szCs w:val="18"/>
              </w:rPr>
              <w:t>Internal servers and network devices (authenticated scan)</w:t>
            </w:r>
          </w:p>
        </w:tc>
        <w:tc>
          <w:tcPr>
            <w:tcW w:type="dxa" w:w="2835"/>
          </w:tcPr>
          <w:p>
            <w:r/>
            <w:r>
              <w:rPr>
                <w:rFonts w:ascii="Calibri" w:hAnsi="Calibri" w:cs="Calibri" w:eastAsia="Calibri"/>
                <w:b w:val="0"/>
                <w:i w:val="0"/>
                <w:sz w:val="18"/>
                <w:szCs w:val="18"/>
              </w:rPr>
              <w:t>Monthly</w:t>
            </w:r>
          </w:p>
        </w:tc>
      </w:tr>
      <w:tr>
        <w:tc>
          <w:tcPr>
            <w:tcW w:type="dxa" w:w="1020"/>
          </w:tcPr>
          <w:p>
            <w:r/>
            <w:r>
              <w:rPr>
                <w:rFonts w:ascii="Calibri" w:hAnsi="Calibri" w:cs="Calibri" w:eastAsia="Calibri"/>
                <w:b w:val="0"/>
                <w:i w:val="0"/>
                <w:sz w:val="18"/>
                <w:szCs w:val="18"/>
              </w:rPr>
              <w:t>VS-03</w:t>
            </w:r>
          </w:p>
        </w:tc>
        <w:tc>
          <w:tcPr>
            <w:tcW w:type="dxa" w:w="5499"/>
          </w:tcPr>
          <w:p>
            <w:r/>
            <w:r>
              <w:rPr>
                <w:rFonts w:ascii="Calibri" w:hAnsi="Calibri" w:cs="Calibri" w:eastAsia="Calibri"/>
                <w:b w:val="0"/>
                <w:i w:val="0"/>
                <w:sz w:val="18"/>
                <w:szCs w:val="18"/>
              </w:rPr>
              <w:t>Endpoints (agent-based)</w:t>
            </w:r>
          </w:p>
        </w:tc>
        <w:tc>
          <w:tcPr>
            <w:tcW w:type="dxa" w:w="2835"/>
          </w:tcPr>
          <w:p>
            <w:r/>
            <w:r>
              <w:rPr>
                <w:rFonts w:ascii="Calibri" w:hAnsi="Calibri" w:cs="Calibri" w:eastAsia="Calibri"/>
                <w:b w:val="0"/>
                <w:i w:val="0"/>
                <w:sz w:val="18"/>
                <w:szCs w:val="18"/>
              </w:rPr>
              <w:t>Continuous</w:t>
            </w:r>
          </w:p>
        </w:tc>
      </w:tr>
      <w:tr>
        <w:tc>
          <w:tcPr>
            <w:tcW w:type="dxa" w:w="1020"/>
          </w:tcPr>
          <w:p>
            <w:r/>
            <w:r>
              <w:rPr>
                <w:rFonts w:ascii="Calibri" w:hAnsi="Calibri" w:cs="Calibri" w:eastAsia="Calibri"/>
                <w:b w:val="0"/>
                <w:i w:val="0"/>
                <w:sz w:val="18"/>
                <w:szCs w:val="18"/>
              </w:rPr>
              <w:t>VS-04</w:t>
            </w:r>
          </w:p>
        </w:tc>
        <w:tc>
          <w:tcPr>
            <w:tcW w:type="dxa" w:w="5499"/>
          </w:tcPr>
          <w:p>
            <w:r/>
            <w:r>
              <w:rPr>
                <w:rFonts w:ascii="Calibri" w:hAnsi="Calibri" w:cs="Calibri" w:eastAsia="Calibri"/>
                <w:b w:val="0"/>
                <w:i w:val="0"/>
                <w:sz w:val="18"/>
                <w:szCs w:val="18"/>
              </w:rPr>
              <w:t>Web applications (dynamic application security testing)</w:t>
            </w:r>
          </w:p>
        </w:tc>
        <w:tc>
          <w:tcPr>
            <w:tcW w:type="dxa" w:w="2835"/>
          </w:tcPr>
          <w:p>
            <w:r/>
            <w:r>
              <w:rPr>
                <w:rFonts w:ascii="Calibri" w:hAnsi="Calibri" w:cs="Calibri" w:eastAsia="Calibri"/>
                <w:b w:val="0"/>
                <w:i w:val="0"/>
                <w:sz w:val="18"/>
                <w:szCs w:val="18"/>
              </w:rPr>
              <w:t>Before release and quarterly</w:t>
            </w:r>
          </w:p>
        </w:tc>
      </w:tr>
      <w:tr>
        <w:tc>
          <w:tcPr>
            <w:tcW w:type="dxa" w:w="1020"/>
          </w:tcPr>
          <w:p>
            <w:r/>
            <w:r>
              <w:rPr>
                <w:rFonts w:ascii="Calibri" w:hAnsi="Calibri" w:cs="Calibri" w:eastAsia="Calibri"/>
                <w:b w:val="0"/>
                <w:i w:val="0"/>
                <w:sz w:val="18"/>
                <w:szCs w:val="18"/>
              </w:rPr>
              <w:t>VS-05</w:t>
            </w:r>
          </w:p>
        </w:tc>
        <w:tc>
          <w:tcPr>
            <w:tcW w:type="dxa" w:w="5499"/>
          </w:tcPr>
          <w:p>
            <w:r/>
            <w:r>
              <w:rPr>
                <w:rFonts w:ascii="Calibri" w:hAnsi="Calibri" w:cs="Calibri" w:eastAsia="Calibri"/>
                <w:b w:val="0"/>
                <w:i w:val="0"/>
                <w:sz w:val="18"/>
                <w:szCs w:val="18"/>
              </w:rPr>
              <w:t>Cloud configuration (automated configuration checks)</w:t>
            </w:r>
          </w:p>
        </w:tc>
        <w:tc>
          <w:tcPr>
            <w:tcW w:type="dxa" w:w="2835"/>
          </w:tcPr>
          <w:p>
            <w:r/>
            <w:r>
              <w:rPr>
                <w:rFonts w:ascii="Calibri" w:hAnsi="Calibri" w:cs="Calibri" w:eastAsia="Calibri"/>
                <w:b w:val="0"/>
                <w:i w:val="0"/>
                <w:sz w:val="18"/>
                <w:szCs w:val="18"/>
              </w:rPr>
              <w:t>Continuous</w:t>
            </w:r>
          </w:p>
        </w:tc>
      </w:tr>
      <w:tr>
        <w:tc>
          <w:tcPr>
            <w:tcW w:type="dxa" w:w="1020"/>
          </w:tcPr>
          <w:p>
            <w:r/>
            <w:r>
              <w:rPr>
                <w:rFonts w:ascii="Calibri" w:hAnsi="Calibri" w:cs="Calibri" w:eastAsia="Calibri"/>
                <w:b w:val="0"/>
                <w:i w:val="0"/>
                <w:sz w:val="18"/>
                <w:szCs w:val="18"/>
              </w:rPr>
              <w:t>VS-06</w:t>
            </w:r>
          </w:p>
        </w:tc>
        <w:tc>
          <w:tcPr>
            <w:tcW w:type="dxa" w:w="5499"/>
          </w:tcPr>
          <w:p>
            <w:r/>
            <w:r>
              <w:rPr>
                <w:rFonts w:ascii="Calibri" w:hAnsi="Calibri" w:cs="Calibri" w:eastAsia="Calibri"/>
                <w:b w:val="0"/>
                <w:i w:val="0"/>
                <w:sz w:val="18"/>
                <w:szCs w:val="18"/>
              </w:rPr>
              <w:t>OT and medical devices (passive or vendor-approved method)</w:t>
            </w:r>
          </w:p>
        </w:tc>
        <w:tc>
          <w:tcPr>
            <w:tcW w:type="dxa" w:w="2835"/>
          </w:tcPr>
          <w:p>
            <w:r/>
            <w:r>
              <w:rPr>
                <w:rFonts w:ascii="Calibri" w:hAnsi="Calibri" w:cs="Calibri" w:eastAsia="Calibri"/>
                <w:b w:val="0"/>
                <w:i w:val="0"/>
                <w:sz w:val="18"/>
                <w:szCs w:val="18"/>
              </w:rPr>
              <w:t>Quarterly</w:t>
            </w:r>
          </w:p>
        </w:tc>
      </w:tr>
    </w:tbl>
    <w:p>
      <w:pPr>
        <w:spacing w:after="40"/>
      </w:pPr>
    </w:p>
    <w:p>
      <w:pPr>
        <w:pStyle w:val="Heading2"/>
        <w:keepNext/>
        <w:spacing w:before="120" w:after="80"/>
      </w:pPr>
      <w:r>
        <w:rPr>
          <w:rFonts w:ascii="Calibri" w:hAnsi="Calibri" w:cs="Calibri" w:eastAsia="Calibri"/>
          <w:b/>
          <w:i w:val="0"/>
          <w:color w:val="1F3864"/>
          <w:sz w:val="24"/>
          <w:szCs w:val="24"/>
          <w:bCs/>
        </w:rPr>
        <w:t>4.4 Remediation Timelines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remediation SLAs by severity and exposure.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551"/>
        <w:gridCol w:w="1984"/>
        <w:gridCol w:w="1984"/>
        <w:gridCol w:w="2835"/>
      </w:tblGrid>
      <w:tr>
        <w:trPr>
          <w:tblHeader w:val="true"/>
        </w:trPr>
        <w:tc>
          <w:tcPr>
            <w:tcW w:type="dxa" w:w="2551"/>
            <w:shd w:val="clear" w:color="auto" w:fill="1F3864"/>
          </w:tcPr>
          <w:p>
            <w:r/>
            <w:r>
              <w:rPr>
                <w:rFonts w:ascii="Calibri" w:hAnsi="Calibri" w:cs="Calibri" w:eastAsia="Calibri"/>
                <w:b/>
                <w:i w:val="0"/>
                <w:color w:val="FFFFFF"/>
                <w:sz w:val="18"/>
                <w:szCs w:val="18"/>
                <w:bCs/>
              </w:rPr>
              <w:t>Severity (CVSS and context)</w:t>
            </w:r>
          </w:p>
        </w:tc>
        <w:tc>
          <w:tcPr>
            <w:tcW w:type="dxa" w:w="1984"/>
            <w:shd w:val="clear" w:color="auto" w:fill="1F3864"/>
          </w:tcPr>
          <w:p>
            <w:r/>
            <w:r>
              <w:rPr>
                <w:rFonts w:ascii="Calibri" w:hAnsi="Calibri" w:cs="Calibri" w:eastAsia="Calibri"/>
                <w:b/>
                <w:i w:val="0"/>
                <w:color w:val="FFFFFF"/>
                <w:sz w:val="18"/>
                <w:szCs w:val="18"/>
                <w:bCs/>
              </w:rPr>
              <w:t>Internet-facing</w:t>
            </w:r>
          </w:p>
        </w:tc>
        <w:tc>
          <w:tcPr>
            <w:tcW w:type="dxa" w:w="1984"/>
            <w:shd w:val="clear" w:color="auto" w:fill="1F3864"/>
          </w:tcPr>
          <w:p>
            <w:r/>
            <w:r>
              <w:rPr>
                <w:rFonts w:ascii="Calibri" w:hAnsi="Calibri" w:cs="Calibri" w:eastAsia="Calibri"/>
                <w:b/>
                <w:i w:val="0"/>
                <w:color w:val="FFFFFF"/>
                <w:sz w:val="18"/>
                <w:szCs w:val="18"/>
                <w:bCs/>
              </w:rPr>
              <w:t>Internal</w:t>
            </w:r>
          </w:p>
        </w:tc>
        <w:tc>
          <w:tcPr>
            <w:tcW w:type="dxa" w:w="2835"/>
            <w:shd w:val="clear" w:color="auto" w:fill="1F3864"/>
          </w:tcPr>
          <w:p>
            <w:r/>
            <w:r>
              <w:rPr>
                <w:rFonts w:ascii="Calibri" w:hAnsi="Calibri" w:cs="Calibri" w:eastAsia="Calibri"/>
                <w:b/>
                <w:i w:val="0"/>
                <w:color w:val="FFFFFF"/>
                <w:sz w:val="18"/>
                <w:szCs w:val="18"/>
                <w:bCs/>
              </w:rPr>
              <w:t>Known exploited (for example, CISA KEV listed)</w:t>
            </w:r>
          </w:p>
        </w:tc>
      </w:tr>
      <w:tr>
        <w:tc>
          <w:tcPr>
            <w:tcW w:type="dxa" w:w="2551"/>
          </w:tcPr>
          <w:p>
            <w:r/>
            <w:r>
              <w:rPr>
                <w:rFonts w:ascii="Calibri" w:hAnsi="Calibri" w:cs="Calibri" w:eastAsia="Calibri"/>
                <w:b w:val="0"/>
                <w:i w:val="0"/>
                <w:sz w:val="18"/>
                <w:szCs w:val="18"/>
              </w:rPr>
              <w:t>Critical (9.0 to 10.0)</w:t>
            </w:r>
          </w:p>
        </w:tc>
        <w:tc>
          <w:tcPr>
            <w:tcW w:type="dxa" w:w="1984"/>
          </w:tcPr>
          <w:p>
            <w:r/>
            <w:r>
              <w:rPr>
                <w:rFonts w:ascii="Calibri" w:hAnsi="Calibri" w:cs="Calibri" w:eastAsia="Calibri"/>
                <w:b w:val="0"/>
                <w:i w:val="0"/>
                <w:sz w:val="18"/>
                <w:szCs w:val="18"/>
              </w:rPr>
              <w:t>7 days</w:t>
            </w:r>
          </w:p>
        </w:tc>
        <w:tc>
          <w:tcPr>
            <w:tcW w:type="dxa" w:w="1984"/>
          </w:tcPr>
          <w:p>
            <w:r/>
            <w:r>
              <w:rPr>
                <w:rFonts w:ascii="Calibri" w:hAnsi="Calibri" w:cs="Calibri" w:eastAsia="Calibri"/>
                <w:b w:val="0"/>
                <w:i w:val="0"/>
                <w:sz w:val="18"/>
                <w:szCs w:val="18"/>
              </w:rPr>
              <w:t>15 days</w:t>
            </w:r>
          </w:p>
        </w:tc>
        <w:tc>
          <w:tcPr>
            <w:tcW w:type="dxa" w:w="2835"/>
          </w:tcPr>
          <w:p>
            <w:r/>
            <w:r>
              <w:rPr>
                <w:rFonts w:ascii="Calibri" w:hAnsi="Calibri" w:cs="Calibri" w:eastAsia="Calibri"/>
                <w:b w:val="0"/>
                <w:i w:val="0"/>
                <w:sz w:val="18"/>
                <w:szCs w:val="18"/>
              </w:rPr>
              <w:t>Internet-facing 48 hours; internal 7 days</w:t>
            </w:r>
          </w:p>
        </w:tc>
      </w:tr>
      <w:tr>
        <w:tc>
          <w:tcPr>
            <w:tcW w:type="dxa" w:w="2551"/>
          </w:tcPr>
          <w:p>
            <w:r/>
            <w:r>
              <w:rPr>
                <w:rFonts w:ascii="Calibri" w:hAnsi="Calibri" w:cs="Calibri" w:eastAsia="Calibri"/>
                <w:b w:val="0"/>
                <w:i w:val="0"/>
                <w:sz w:val="18"/>
                <w:szCs w:val="18"/>
              </w:rPr>
              <w:t>High (7.0 to 8.9)</w:t>
            </w:r>
          </w:p>
        </w:tc>
        <w:tc>
          <w:tcPr>
            <w:tcW w:type="dxa" w:w="1984"/>
          </w:tcPr>
          <w:p>
            <w:r/>
            <w:r>
              <w:rPr>
                <w:rFonts w:ascii="Calibri" w:hAnsi="Calibri" w:cs="Calibri" w:eastAsia="Calibri"/>
                <w:b w:val="0"/>
                <w:i w:val="0"/>
                <w:sz w:val="18"/>
                <w:szCs w:val="18"/>
              </w:rPr>
              <w:t>15 days</w:t>
            </w:r>
          </w:p>
        </w:tc>
        <w:tc>
          <w:tcPr>
            <w:tcW w:type="dxa" w:w="1984"/>
          </w:tcPr>
          <w:p>
            <w:r/>
            <w:r>
              <w:rPr>
                <w:rFonts w:ascii="Calibri" w:hAnsi="Calibri" w:cs="Calibri" w:eastAsia="Calibri"/>
                <w:b w:val="0"/>
                <w:i w:val="0"/>
                <w:sz w:val="18"/>
                <w:szCs w:val="18"/>
              </w:rPr>
              <w:t>30 days</w:t>
            </w:r>
          </w:p>
        </w:tc>
        <w:tc>
          <w:tcPr>
            <w:tcW w:type="dxa" w:w="2835"/>
          </w:tcPr>
          <w:p>
            <w:r/>
            <w:r>
              <w:rPr>
                <w:rFonts w:ascii="Calibri" w:hAnsi="Calibri" w:cs="Calibri" w:eastAsia="Calibri"/>
                <w:b w:val="0"/>
                <w:i w:val="0"/>
                <w:sz w:val="18"/>
                <w:szCs w:val="18"/>
              </w:rPr>
              <w:t>15 days</w:t>
            </w:r>
          </w:p>
        </w:tc>
      </w:tr>
      <w:tr>
        <w:tc>
          <w:tcPr>
            <w:tcW w:type="dxa" w:w="2551"/>
          </w:tcPr>
          <w:p>
            <w:r/>
            <w:r>
              <w:rPr>
                <w:rFonts w:ascii="Calibri" w:hAnsi="Calibri" w:cs="Calibri" w:eastAsia="Calibri"/>
                <w:b w:val="0"/>
                <w:i w:val="0"/>
                <w:sz w:val="18"/>
                <w:szCs w:val="18"/>
              </w:rPr>
              <w:t>Medium (4.0 to 6.9)</w:t>
            </w:r>
          </w:p>
        </w:tc>
        <w:tc>
          <w:tcPr>
            <w:tcW w:type="dxa" w:w="1984"/>
          </w:tcPr>
          <w:p>
            <w:r/>
            <w:r>
              <w:rPr>
                <w:rFonts w:ascii="Calibri" w:hAnsi="Calibri" w:cs="Calibri" w:eastAsia="Calibri"/>
                <w:b w:val="0"/>
                <w:i w:val="0"/>
                <w:sz w:val="18"/>
                <w:szCs w:val="18"/>
              </w:rPr>
              <w:t>30 days</w:t>
            </w:r>
          </w:p>
        </w:tc>
        <w:tc>
          <w:tcPr>
            <w:tcW w:type="dxa" w:w="1984"/>
          </w:tcPr>
          <w:p>
            <w:r/>
            <w:r>
              <w:rPr>
                <w:rFonts w:ascii="Calibri" w:hAnsi="Calibri" w:cs="Calibri" w:eastAsia="Calibri"/>
                <w:b w:val="0"/>
                <w:i w:val="0"/>
                <w:sz w:val="18"/>
                <w:szCs w:val="18"/>
              </w:rPr>
              <w:t>90 days</w:t>
            </w:r>
          </w:p>
        </w:tc>
        <w:tc>
          <w:tcPr>
            <w:tcW w:type="dxa" w:w="2835"/>
          </w:tcPr>
          <w:p>
            <w:r/>
            <w:r>
              <w:rPr>
                <w:rFonts w:ascii="Calibri" w:hAnsi="Calibri" w:cs="Calibri" w:eastAsia="Calibri"/>
                <w:b w:val="0"/>
                <w:i w:val="0"/>
                <w:sz w:val="18"/>
                <w:szCs w:val="18"/>
              </w:rPr>
              <w:t>30 days</w:t>
            </w:r>
          </w:p>
        </w:tc>
      </w:tr>
      <w:tr>
        <w:tc>
          <w:tcPr>
            <w:tcW w:type="dxa" w:w="2551"/>
          </w:tcPr>
          <w:p>
            <w:r/>
            <w:r>
              <w:rPr>
                <w:rFonts w:ascii="Calibri" w:hAnsi="Calibri" w:cs="Calibri" w:eastAsia="Calibri"/>
                <w:b w:val="0"/>
                <w:i w:val="0"/>
                <w:sz w:val="18"/>
                <w:szCs w:val="18"/>
              </w:rPr>
              <w:t>Low (below 4.0)</w:t>
            </w:r>
          </w:p>
        </w:tc>
        <w:tc>
          <w:tcPr>
            <w:tcW w:type="dxa" w:w="1984"/>
          </w:tcPr>
          <w:p>
            <w:r/>
            <w:r>
              <w:rPr>
                <w:rFonts w:ascii="Calibri" w:hAnsi="Calibri" w:cs="Calibri" w:eastAsia="Calibri"/>
                <w:b w:val="0"/>
                <w:i w:val="0"/>
                <w:sz w:val="18"/>
                <w:szCs w:val="18"/>
              </w:rPr>
              <w:t>Next maintenance cycle</w:t>
            </w:r>
          </w:p>
        </w:tc>
        <w:tc>
          <w:tcPr>
            <w:tcW w:type="dxa" w:w="1984"/>
          </w:tcPr>
          <w:p>
            <w:r/>
            <w:r>
              <w:rPr>
                <w:rFonts w:ascii="Calibri" w:hAnsi="Calibri" w:cs="Calibri" w:eastAsia="Calibri"/>
                <w:b w:val="0"/>
                <w:i w:val="0"/>
                <w:sz w:val="18"/>
                <w:szCs w:val="18"/>
              </w:rPr>
              <w:t>Next maintenance cycle</w:t>
            </w:r>
          </w:p>
        </w:tc>
        <w:tc>
          <w:tcPr>
            <w:tcW w:type="dxa" w:w="2835"/>
          </w:tcPr>
          <w:p>
            <w:r/>
            <w:r>
              <w:rPr>
                <w:rFonts w:ascii="Calibri" w:hAnsi="Calibri" w:cs="Calibri" w:eastAsia="Calibri"/>
                <w:b w:val="0"/>
                <w:i w:val="0"/>
                <w:sz w:val="18"/>
                <w:szCs w:val="18"/>
              </w:rPr>
              <w:t>Next maintenance cycle</w:t>
            </w:r>
          </w:p>
        </w:tc>
      </w:tr>
    </w:tbl>
    <w:p>
      <w:pPr>
        <w:spacing w:after="40"/>
      </w:pPr>
    </w:p>
    <w:p>
      <w:pPr>
        <w:pStyle w:val="Heading2"/>
        <w:keepNext/>
        <w:spacing w:before="120" w:after="80"/>
      </w:pPr>
      <w:r>
        <w:rPr>
          <w:rFonts w:ascii="Calibri" w:hAnsi="Calibri" w:cs="Calibri" w:eastAsia="Calibri"/>
          <w:b/>
          <w:i w:val="0"/>
          <w:color w:val="1F3864"/>
          <w:sz w:val="24"/>
          <w:szCs w:val="24"/>
          <w:bCs/>
        </w:rPr>
        <w:t>4.5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how vulnerabilities that cannot be fixed within SLA are handled.</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Vulnerabilities that cannot be remediated within SLA require compensating controls (such as virtual patching, isolation, or disabling the service) and an approved exception (GV-PRC-003).</w:t>
      </w:r>
    </w:p>
    <w:p>
      <w:pPr>
        <w:pStyle w:val="Heading2"/>
        <w:keepNext/>
        <w:spacing w:before="120" w:after="80"/>
      </w:pPr>
      <w:r>
        <w:rPr>
          <w:rFonts w:ascii="Calibri" w:hAnsi="Calibri" w:cs="Calibri" w:eastAsia="Calibri"/>
          <w:b/>
          <w:i w:val="0"/>
          <w:color w:val="1F3864"/>
          <w:sz w:val="24"/>
          <w:szCs w:val="24"/>
          <w:bCs/>
        </w:rPr>
        <w:t>4.6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Prioritize by exploitability and asset criticality, not only CVSS score.</w:t>
      </w:r>
    </w:p>
    <w:p>
      <w:pPr>
        <w:pStyle w:val="ListBullet"/>
        <w:spacing w:after="40"/>
      </w:pPr>
      <w:r>
        <w:rPr>
          <w:rFonts w:ascii="Calibri" w:hAnsi="Calibri" w:cs="Calibri" w:eastAsia="Calibri"/>
          <w:b w:val="0"/>
          <w:i w:val="0"/>
          <w:sz w:val="21"/>
          <w:szCs w:val="21"/>
        </w:rPr>
        <w:t>Use authenticated scans; unauthenticated scans miss most missing patches.</w:t>
      </w:r>
    </w:p>
    <w:p>
      <w:pPr>
        <w:pStyle w:val="ListBullet"/>
        <w:spacing w:after="40"/>
      </w:pPr>
      <w:r>
        <w:rPr>
          <w:rFonts w:ascii="Calibri" w:hAnsi="Calibri" w:cs="Calibri" w:eastAsia="Calibri"/>
          <w:b w:val="0"/>
          <w:i w:val="0"/>
          <w:sz w:val="21"/>
          <w:szCs w:val="21"/>
        </w:rPr>
        <w:t>Track mean time to remediate by severity as a KPI.</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Scanning without remediation tracking, producing reports that nobody acts on.</w:t>
      </w:r>
    </w:p>
    <w:p>
      <w:pPr>
        <w:pStyle w:val="ListBullet"/>
        <w:spacing w:after="40"/>
      </w:pPr>
      <w:r>
        <w:rPr>
          <w:rFonts w:ascii="Calibri" w:hAnsi="Calibri" w:cs="Calibri" w:eastAsia="Calibri"/>
          <w:b w:val="0"/>
          <w:i w:val="0"/>
          <w:sz w:val="21"/>
          <w:szCs w:val="21"/>
        </w:rPr>
        <w:t>Active scanning of fragile medical or OT devices, causing outages.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ID.RA-01: Vulnerabilities in assets are identified, validated, and recorded</w:t>
            </w:r>
          </w:p>
          <w:p>
            <w:r>
              <w:rPr>
                <w:rFonts w:ascii="Calibri" w:hAnsi="Calibri" w:cs="Calibri" w:eastAsia="Calibri"/>
                <w:b w:val="0"/>
                <w:i w:val="0"/>
                <w:sz w:val="18"/>
                <w:szCs w:val="18"/>
              </w:rPr>
              <w:t>PR.PS-02: Software is maintained, replaced, and removed commensurate with risk</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RA-5, SI-2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8.8; CIS Controls v8.1 Control 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ID-PRC-002: Vulnerability Management Procedure</w:t>
            </w:r>
          </w:p>
          <w:p>
            <w:r>
              <w:rPr>
                <w:rFonts w:ascii="Calibri" w:hAnsi="Calibri" w:cs="Calibri" w:eastAsia="Calibri"/>
                <w:b w:val="0"/>
                <w:i w:val="0"/>
                <w:sz w:val="18"/>
                <w:szCs w:val="18"/>
              </w:rPr>
              <w:t>ID-PRC-003: Penetration Testing Procedure</w:t>
            </w:r>
          </w:p>
          <w:p>
            <w:r>
              <w:rPr>
                <w:rFonts w:ascii="Calibri" w:hAnsi="Calibri" w:cs="Calibri" w:eastAsia="Calibri"/>
                <w:b w:val="0"/>
                <w:i w:val="0"/>
                <w:sz w:val="18"/>
                <w:szCs w:val="18"/>
              </w:rPr>
              <w:t>PR-PRC-007: Patch Management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ID-STD-002  |  Vulnerability Scanning and Remediation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