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User Access Request Form</w:t>
      </w:r>
    </w:p>
    <w:p>
      <w:pPr>
        <w:spacing w:after="80" w:before="0"/>
      </w:pPr>
      <w:r>
        <w:rPr>
          <w:rFonts w:ascii="Calibri" w:hAnsi="Calibri" w:cs="Calibri" w:eastAsia="Calibri"/>
          <w:b w:val="0"/>
          <w:i w:val="0"/>
          <w:color w:val="595959"/>
          <w:sz w:val="18"/>
          <w:szCs w:val="18"/>
        </w:rPr>
        <w:t>PR-FRM-001  |  Form  |  Identity Management, Authentication, and Access Control (PR.AA)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PR-FRM-001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User Access Request Form</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27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27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Identity Management, Authentication, and Access Control (PR.AA)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5.18</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20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27 July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requests, justifies, and approves user access to a system.</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(PR-PRC-001) and covers the activities that document defines.</w:t>
      </w:r>
    </w:p>
    <w:p>
      <w:pPr>
        <w:pStyle w:val="Heading2"/>
        <w:keepNext/>
        <w:spacing w:before="120" w:after="80"/>
      </w:pPr>
      <w:r>
        <w:rPr>
          <w:rFonts w:ascii="Calibri" w:hAnsi="Calibri" w:cs="Calibri" w:eastAsia="Calibri"/>
          <w:b/>
          <w:i w:val="0"/>
          <w:color w:val="1F3864"/>
          <w:sz w:val="24"/>
          <w:szCs w:val="24"/>
          <w:bCs/>
        </w:rPr>
        <w:t>4.3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Request number</w:t>
            </w:r>
          </w:p>
        </w:tc>
        <w:tc>
          <w:tcPr>
            <w:tcW w:type="dxa" w:w="3628"/>
          </w:tcPr>
          <w:p>
            <w:r/>
            <w:r>
              <w:rPr>
                <w:rFonts w:ascii="Calibri" w:hAnsi="Calibri" w:cs="Calibri" w:eastAsia="Calibri"/>
                <w:b w:val="0"/>
                <w:i w:val="0"/>
                <w:sz w:val="18"/>
                <w:szCs w:val="18"/>
              </w:rPr>
              <w:t>Assigned by IT service desk.</w:t>
            </w:r>
          </w:p>
        </w:tc>
        <w:tc>
          <w:tcPr>
            <w:tcW w:type="dxa" w:w="2835"/>
          </w:tcPr>
          <w:p>
            <w:r/>
            <w:r>
              <w:rPr>
                <w:rFonts w:ascii="Calibri" w:hAnsi="Calibri" w:cs="Calibri" w:eastAsia="Calibri"/>
                <w:b w:val="0"/>
                <w:i w:val="0"/>
                <w:sz w:val="18"/>
                <w:szCs w:val="18"/>
              </w:rPr>
              <w:t>UAR-2026-1184</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Request type</w:t>
            </w:r>
          </w:p>
        </w:tc>
        <w:tc>
          <w:tcPr>
            <w:tcW w:type="dxa" w:w="3628"/>
          </w:tcPr>
          <w:p>
            <w:r/>
            <w:r>
              <w:rPr>
                <w:rFonts w:ascii="Calibri" w:hAnsi="Calibri" w:cs="Calibri" w:eastAsia="Calibri"/>
                <w:b w:val="0"/>
                <w:i w:val="0"/>
                <w:sz w:val="18"/>
                <w:szCs w:val="18"/>
              </w:rPr>
              <w:t>New, Change, Remove, Temporary.</w:t>
            </w:r>
          </w:p>
        </w:tc>
        <w:tc>
          <w:tcPr>
            <w:tcW w:type="dxa" w:w="2835"/>
          </w:tcPr>
          <w:p>
            <w:r/>
            <w:r>
              <w:rPr>
                <w:rFonts w:ascii="Calibri" w:hAnsi="Calibri" w:cs="Calibri" w:eastAsia="Calibri"/>
                <w:b w:val="0"/>
                <w:i w:val="0"/>
                <w:sz w:val="18"/>
                <w:szCs w:val="18"/>
              </w:rPr>
              <w:t>New</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User name, employee ID, position, department</w:t>
            </w:r>
          </w:p>
        </w:tc>
        <w:tc>
          <w:tcPr>
            <w:tcW w:type="dxa" w:w="3628"/>
          </w:tcPr>
          <w:p>
            <w:r/>
            <w:r>
              <w:rPr>
                <w:rFonts w:ascii="Calibri" w:hAnsi="Calibri" w:cs="Calibri" w:eastAsia="Calibri"/>
                <w:b w:val="0"/>
                <w:i w:val="0"/>
                <w:sz w:val="18"/>
                <w:szCs w:val="18"/>
              </w:rPr>
              <w:t>Identity of the user.</w:t>
            </w:r>
          </w:p>
        </w:tc>
        <w:tc>
          <w:tcPr>
            <w:tcW w:type="dxa" w:w="2835"/>
          </w:tcPr>
          <w:p>
            <w:r/>
            <w:r>
              <w:rPr>
                <w:rFonts w:ascii="Calibri" w:hAnsi="Calibri" w:cs="Calibri" w:eastAsia="Calibri"/>
                <w:b w:val="0"/>
                <w:i w:val="0"/>
                <w:sz w:val="18"/>
                <w:szCs w:val="18"/>
              </w:rPr>
              <w:t>Registered Nurse (name withheld in sample), employee 26-0451, Ward 6B, Nursing Department</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Employment type</w:t>
            </w:r>
          </w:p>
        </w:tc>
        <w:tc>
          <w:tcPr>
            <w:tcW w:type="dxa" w:w="3628"/>
          </w:tcPr>
          <w:p>
            <w:r/>
            <w:r>
              <w:rPr>
                <w:rFonts w:ascii="Calibri" w:hAnsi="Calibri" w:cs="Calibri" w:eastAsia="Calibri"/>
                <w:b w:val="0"/>
                <w:i w:val="0"/>
                <w:sz w:val="18"/>
                <w:szCs w:val="18"/>
              </w:rPr>
              <w:t>Employee, contractor, vendor, student.</w:t>
            </w:r>
          </w:p>
        </w:tc>
        <w:tc>
          <w:tcPr>
            <w:tcW w:type="dxa" w:w="2835"/>
          </w:tcPr>
          <w:p>
            <w:r/>
            <w:r>
              <w:rPr>
                <w:rFonts w:ascii="Calibri" w:hAnsi="Calibri" w:cs="Calibri" w:eastAsia="Calibri"/>
                <w:b w:val="0"/>
                <w:i w:val="0"/>
                <w:sz w:val="18"/>
                <w:szCs w:val="18"/>
              </w:rPr>
              <w:t>Employee</w:t>
            </w:r>
          </w:p>
        </w:tc>
      </w:tr>
      <w:tr>
        <w:tc>
          <w:tcPr>
            <w:tcW w:type="dxa" w:w="62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System and role or profile requested</w:t>
            </w:r>
          </w:p>
        </w:tc>
        <w:tc>
          <w:tcPr>
            <w:tcW w:type="dxa" w:w="3628"/>
          </w:tcPr>
          <w:p>
            <w:r/>
            <w:r>
              <w:rPr>
                <w:rFonts w:ascii="Calibri" w:hAnsi="Calibri" w:cs="Calibri" w:eastAsia="Calibri"/>
                <w:b w:val="0"/>
                <w:i w:val="0"/>
                <w:sz w:val="18"/>
                <w:szCs w:val="18"/>
              </w:rPr>
              <w:t>Use the standard role profile where available.</w:t>
            </w:r>
          </w:p>
        </w:tc>
        <w:tc>
          <w:tcPr>
            <w:tcW w:type="dxa" w:w="2835"/>
          </w:tcPr>
          <w:p>
            <w:r/>
            <w:r>
              <w:rPr>
                <w:rFonts w:ascii="Calibri" w:hAnsi="Calibri" w:cs="Calibri" w:eastAsia="Calibri"/>
                <w:b w:val="0"/>
                <w:i w:val="0"/>
                <w:sz w:val="18"/>
                <w:szCs w:val="18"/>
              </w:rPr>
              <w:t>HIS: Nurse Ward profile (Ward 6B); LIS: results viewer; Microsoft 365 E3</w:t>
            </w:r>
          </w:p>
        </w:tc>
      </w:tr>
      <w:tr>
        <w:tc>
          <w:tcPr>
            <w:tcW w:type="dxa" w:w="62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Business justification</w:t>
            </w:r>
          </w:p>
        </w:tc>
        <w:tc>
          <w:tcPr>
            <w:tcW w:type="dxa" w:w="3628"/>
          </w:tcPr>
          <w:p>
            <w:r/>
            <w:r>
              <w:rPr>
                <w:rFonts w:ascii="Calibri" w:hAnsi="Calibri" w:cs="Calibri" w:eastAsia="Calibri"/>
                <w:b w:val="0"/>
                <w:i w:val="0"/>
                <w:sz w:val="18"/>
                <w:szCs w:val="18"/>
              </w:rPr>
              <w:t>Why the access is needed.</w:t>
            </w:r>
          </w:p>
        </w:tc>
        <w:tc>
          <w:tcPr>
            <w:tcW w:type="dxa" w:w="2835"/>
          </w:tcPr>
          <w:p>
            <w:r/>
            <w:r>
              <w:rPr>
                <w:rFonts w:ascii="Calibri" w:hAnsi="Calibri" w:cs="Calibri" w:eastAsia="Calibri"/>
                <w:b w:val="0"/>
                <w:i w:val="0"/>
                <w:sz w:val="18"/>
                <w:szCs w:val="18"/>
              </w:rPr>
              <w:t>Inpatient nursing care on Ward 6B</w:t>
            </w:r>
          </w:p>
        </w:tc>
      </w:tr>
      <w:tr>
        <w:tc>
          <w:tcPr>
            <w:tcW w:type="dxa" w:w="624"/>
          </w:tcPr>
          <w:p>
            <w:r/>
            <w:r>
              <w:rPr>
                <w:rFonts w:ascii="Calibri" w:hAnsi="Calibri" w:cs="Calibri" w:eastAsia="Calibri"/>
                <w:b w:val="0"/>
                <w:i w:val="0"/>
                <w:sz w:val="18"/>
                <w:szCs w:val="18"/>
              </w:rPr>
              <w:t>7</w:t>
            </w:r>
          </w:p>
        </w:tc>
        <w:tc>
          <w:tcPr>
            <w:tcW w:type="dxa" w:w="2268"/>
          </w:tcPr>
          <w:p>
            <w:r/>
            <w:r>
              <w:rPr>
                <w:rFonts w:ascii="Calibri" w:hAnsi="Calibri" w:cs="Calibri" w:eastAsia="Calibri"/>
                <w:b w:val="0"/>
                <w:i w:val="0"/>
                <w:sz w:val="18"/>
                <w:szCs w:val="18"/>
              </w:rPr>
              <w:t>Access period</w:t>
            </w:r>
          </w:p>
        </w:tc>
        <w:tc>
          <w:tcPr>
            <w:tcW w:type="dxa" w:w="3628"/>
          </w:tcPr>
          <w:p>
            <w:r/>
            <w:r>
              <w:rPr>
                <w:rFonts w:ascii="Calibri" w:hAnsi="Calibri" w:cs="Calibri" w:eastAsia="Calibri"/>
                <w:b w:val="0"/>
                <w:i w:val="0"/>
                <w:sz w:val="18"/>
                <w:szCs w:val="18"/>
              </w:rPr>
              <w:t>Permanent or end date.</w:t>
            </w:r>
          </w:p>
        </w:tc>
        <w:tc>
          <w:tcPr>
            <w:tcW w:type="dxa" w:w="2835"/>
          </w:tcPr>
          <w:p>
            <w:r/>
            <w:r>
              <w:rPr>
                <w:rFonts w:ascii="Calibri" w:hAnsi="Calibri" w:cs="Calibri" w:eastAsia="Calibri"/>
                <w:b w:val="0"/>
                <w:i w:val="0"/>
                <w:sz w:val="18"/>
                <w:szCs w:val="18"/>
              </w:rPr>
              <w:t>Permanent</w:t>
            </w:r>
          </w:p>
        </w:tc>
      </w:tr>
      <w:tr>
        <w:tc>
          <w:tcPr>
            <w:tcW w:type="dxa" w:w="624"/>
          </w:tcPr>
          <w:p>
            <w:r/>
            <w:r>
              <w:rPr>
                <w:rFonts w:ascii="Calibri" w:hAnsi="Calibri" w:cs="Calibri" w:eastAsia="Calibri"/>
                <w:b w:val="0"/>
                <w:i w:val="0"/>
                <w:sz w:val="18"/>
                <w:szCs w:val="18"/>
              </w:rPr>
              <w:t>8</w:t>
            </w:r>
          </w:p>
        </w:tc>
        <w:tc>
          <w:tcPr>
            <w:tcW w:type="dxa" w:w="2268"/>
          </w:tcPr>
          <w:p>
            <w:r/>
            <w:r>
              <w:rPr>
                <w:rFonts w:ascii="Calibri" w:hAnsi="Calibri" w:cs="Calibri" w:eastAsia="Calibri"/>
                <w:b w:val="0"/>
                <w:i w:val="0"/>
                <w:sz w:val="18"/>
                <w:szCs w:val="18"/>
              </w:rPr>
              <w:t>Data classification accessed</w:t>
            </w:r>
          </w:p>
        </w:tc>
        <w:tc>
          <w:tcPr>
            <w:tcW w:type="dxa" w:w="3628"/>
          </w:tcPr>
          <w:p>
            <w:r/>
            <w:r>
              <w:rPr>
                <w:rFonts w:ascii="Calibri" w:hAnsi="Calibri" w:cs="Calibri" w:eastAsia="Calibri"/>
                <w:b w:val="0"/>
                <w:i w:val="0"/>
                <w:sz w:val="18"/>
                <w:szCs w:val="18"/>
              </w:rPr>
              <w:t>Highest class per PR-STD-004.</w:t>
            </w:r>
          </w:p>
        </w:tc>
        <w:tc>
          <w:tcPr>
            <w:tcW w:type="dxa" w:w="2835"/>
          </w:tcPr>
          <w:p>
            <w:r/>
            <w:r>
              <w:rPr>
                <w:rFonts w:ascii="Calibri" w:hAnsi="Calibri" w:cs="Calibri" w:eastAsia="Calibri"/>
                <w:b w:val="0"/>
                <w:i w:val="0"/>
                <w:sz w:val="18"/>
                <w:szCs w:val="18"/>
              </w:rPr>
              <w:t>Restricted (patient data)</w:t>
            </w:r>
          </w:p>
        </w:tc>
      </w:tr>
      <w:tr>
        <w:tc>
          <w:tcPr>
            <w:tcW w:type="dxa" w:w="624"/>
          </w:tcPr>
          <w:p>
            <w:r/>
            <w:r>
              <w:rPr>
                <w:rFonts w:ascii="Calibri" w:hAnsi="Calibri" w:cs="Calibri" w:eastAsia="Calibri"/>
                <w:b w:val="0"/>
                <w:i w:val="0"/>
                <w:sz w:val="18"/>
                <w:szCs w:val="18"/>
              </w:rPr>
              <w:t>9</w:t>
            </w:r>
          </w:p>
        </w:tc>
        <w:tc>
          <w:tcPr>
            <w:tcW w:type="dxa" w:w="2268"/>
          </w:tcPr>
          <w:p>
            <w:r/>
            <w:r>
              <w:rPr>
                <w:rFonts w:ascii="Calibri" w:hAnsi="Calibri" w:cs="Calibri" w:eastAsia="Calibri"/>
                <w:b w:val="0"/>
                <w:i w:val="0"/>
                <w:sz w:val="18"/>
                <w:szCs w:val="18"/>
              </w:rPr>
              <w:t>AUP and NDA acknowledged</w:t>
            </w:r>
          </w:p>
        </w:tc>
        <w:tc>
          <w:tcPr>
            <w:tcW w:type="dxa" w:w="3628"/>
          </w:tcPr>
          <w:p>
            <w:r/>
            <w:r>
              <w:rPr>
                <w:rFonts w:ascii="Calibri" w:hAnsi="Calibri" w:cs="Calibri" w:eastAsia="Calibri"/>
                <w:b w:val="0"/>
                <w:i w:val="0"/>
                <w:sz w:val="18"/>
                <w:szCs w:val="18"/>
              </w:rPr>
              <w:t>Yes with date.</w:t>
            </w:r>
          </w:p>
        </w:tc>
        <w:tc>
          <w:tcPr>
            <w:tcW w:type="dxa" w:w="2835"/>
          </w:tcPr>
          <w:p>
            <w:r/>
            <w:r>
              <w:rPr>
                <w:rFonts w:ascii="Calibri" w:hAnsi="Calibri" w:cs="Calibri" w:eastAsia="Calibri"/>
                <w:b w:val="0"/>
                <w:i w:val="0"/>
                <w:sz w:val="18"/>
                <w:szCs w:val="18"/>
              </w:rPr>
              <w:t>AUP and GV-FRM-002 signed 1 September 2026</w:t>
            </w:r>
          </w:p>
        </w:tc>
      </w:tr>
      <w:tr>
        <w:tc>
          <w:tcPr>
            <w:tcW w:type="dxa" w:w="624"/>
          </w:tcPr>
          <w:p>
            <w:r/>
            <w:r>
              <w:rPr>
                <w:rFonts w:ascii="Calibri" w:hAnsi="Calibri" w:cs="Calibri" w:eastAsia="Calibri"/>
                <w:b w:val="0"/>
                <w:i w:val="0"/>
                <w:sz w:val="18"/>
                <w:szCs w:val="18"/>
              </w:rPr>
              <w:t>10</w:t>
            </w:r>
          </w:p>
        </w:tc>
        <w:tc>
          <w:tcPr>
            <w:tcW w:type="dxa" w:w="2268"/>
          </w:tcPr>
          <w:p>
            <w:r/>
            <w:r>
              <w:rPr>
                <w:rFonts w:ascii="Calibri" w:hAnsi="Calibri" w:cs="Calibri" w:eastAsia="Calibri"/>
                <w:b w:val="0"/>
                <w:i w:val="0"/>
                <w:sz w:val="18"/>
                <w:szCs w:val="18"/>
              </w:rPr>
              <w:t>Provisioned by and date</w:t>
            </w:r>
          </w:p>
        </w:tc>
        <w:tc>
          <w:tcPr>
            <w:tcW w:type="dxa" w:w="3628"/>
          </w:tcPr>
          <w:p>
            <w:r/>
            <w:r>
              <w:rPr>
                <w:rFonts w:ascii="Calibri" w:hAnsi="Calibri" w:cs="Calibri" w:eastAsia="Calibri"/>
                <w:b w:val="0"/>
                <w:i w:val="0"/>
                <w:sz w:val="18"/>
                <w:szCs w:val="18"/>
              </w:rPr>
              <w:t>Completed by IT.</w:t>
            </w:r>
          </w:p>
        </w:tc>
        <w:tc>
          <w:tcPr>
            <w:tcW w:type="dxa" w:w="2835"/>
          </w:tcPr>
          <w:p>
            <w:r/>
            <w:r>
              <w:rPr>
                <w:rFonts w:ascii="Calibri" w:hAnsi="Calibri" w:cs="Calibri" w:eastAsia="Calibri"/>
                <w:b w:val="0"/>
                <w:i w:val="0"/>
                <w:sz w:val="18"/>
                <w:szCs w:val="18"/>
              </w:rPr>
              <w:t>IT Service Desk, 2 September 2026</w:t>
            </w:r>
          </w:p>
        </w:tc>
      </w:tr>
    </w:tbl>
    <w:p>
      <w:pPr>
        <w:spacing w:after="40"/>
      </w:pPr>
    </w:p>
    <w:p>
      <w:pPr>
        <w:pStyle w:val="Heading2"/>
        <w:keepNext/>
        <w:spacing w:before="120" w:after="80"/>
      </w:pPr>
      <w:r>
        <w:rPr>
          <w:rFonts w:ascii="Calibri" w:hAnsi="Calibri" w:cs="Calibri" w:eastAsia="Calibri"/>
          <w:b/>
          <w:i w:val="0"/>
          <w:color w:val="1F3864"/>
          <w:sz w:val="24"/>
          <w:szCs w:val="24"/>
          <w:bCs/>
        </w:rPr>
        <w:t>4.4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Line Manager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System Owner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IT Infrastructure Manager</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Pre-fill role profiles so managers select a role instead of listing individual permissions.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IT grants access on verbal or chat requests without a record.</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PR.AA-01: Identities and credentials for authorized users, services, and hardware are managed</w:t>
            </w:r>
          </w:p>
          <w:p>
            <w:r>
              <w:rPr>
                <w:rFonts w:ascii="Calibri" w:hAnsi="Calibri" w:cs="Calibri" w:eastAsia="Calibri"/>
                <w:b w:val="0"/>
                <w:i w:val="0"/>
                <w:sz w:val="18"/>
                <w:szCs w:val="18"/>
              </w:rPr>
              <w:t>PR.AA-05: Access permissions, entitlements, and authorizations are defined, managed, enforced, and reviewed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A.5.18</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AC-2</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5.18</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PR-PRC-001: User Access Management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PR-FRM-001  |  User Access Request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