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Third-Party Remote Access Request Form</w:t>
      </w:r>
    </w:p>
    <w:p>
      <w:pPr>
        <w:spacing w:after="80" w:before="0"/>
      </w:pPr>
      <w:r>
        <w:rPr>
          <w:rFonts w:ascii="Calibri" w:hAnsi="Calibri" w:cs="Calibri" w:eastAsia="Calibri"/>
          <w:b w:val="0"/>
          <w:i w:val="0"/>
          <w:color w:val="595959"/>
          <w:sz w:val="18"/>
          <w:szCs w:val="18"/>
        </w:rPr>
        <w:t>PR-FRM-003  |  Form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Third-Party Remote Access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22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22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5.19 and 8.20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7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22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requests and approves remote access by a third party (vendor, contractor, or partner) for support or maintenance.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(PR-STD-003)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number</w:t>
            </w:r>
          </w:p>
        </w:tc>
        <w:tc>
          <w:tcPr>
            <w:tcW w:type="dxa" w:w="3628"/>
          </w:tcPr>
          <w:p>
            <w:r/>
            <w:r>
              <w:rPr>
                <w:rFonts w:ascii="Calibri" w:hAnsi="Calibri" w:cs="Calibri" w:eastAsia="Calibri"/>
                <w:b w:val="0"/>
                <w:i w:val="0"/>
                <w:sz w:val="18"/>
                <w:szCs w:val="18"/>
              </w:rPr>
              <w:t>Assigned by security team.</w:t>
            </w:r>
          </w:p>
        </w:tc>
        <w:tc>
          <w:tcPr>
            <w:tcW w:type="dxa" w:w="2835"/>
          </w:tcPr>
          <w:p>
            <w:r/>
            <w:r>
              <w:rPr>
                <w:rFonts w:ascii="Calibri" w:hAnsi="Calibri" w:cs="Calibri" w:eastAsia="Calibri"/>
                <w:b w:val="0"/>
                <w:i w:val="0"/>
                <w:sz w:val="18"/>
                <w:szCs w:val="18"/>
              </w:rPr>
              <w:t>TRA-2026-0207</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Supplier and supplier ID</w:t>
            </w:r>
          </w:p>
        </w:tc>
        <w:tc>
          <w:tcPr>
            <w:tcW w:type="dxa" w:w="3628"/>
          </w:tcPr>
          <w:p>
            <w:r/>
            <w:r>
              <w:rPr>
                <w:rFonts w:ascii="Calibri" w:hAnsi="Calibri" w:cs="Calibri" w:eastAsia="Calibri"/>
                <w:b w:val="0"/>
                <w:i w:val="0"/>
                <w:sz w:val="18"/>
                <w:szCs w:val="18"/>
              </w:rPr>
              <w:t>From GV-REG-009.</w:t>
            </w:r>
          </w:p>
        </w:tc>
        <w:tc>
          <w:tcPr>
            <w:tcW w:type="dxa" w:w="2835"/>
          </w:tcPr>
          <w:p>
            <w:r/>
            <w:r>
              <w:rPr>
                <w:rFonts w:ascii="Calibri" w:hAnsi="Calibri" w:cs="Calibri" w:eastAsia="Calibri"/>
                <w:b w:val="0"/>
                <w:i w:val="0"/>
                <w:sz w:val="18"/>
                <w:szCs w:val="18"/>
              </w:rPr>
              <w:t>PACS Vendor B (SUP-002)</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Named individuals</w:t>
            </w:r>
          </w:p>
        </w:tc>
        <w:tc>
          <w:tcPr>
            <w:tcW w:type="dxa" w:w="3628"/>
          </w:tcPr>
          <w:p>
            <w:r/>
            <w:r>
              <w:rPr>
                <w:rFonts w:ascii="Calibri" w:hAnsi="Calibri" w:cs="Calibri" w:eastAsia="Calibri"/>
                <w:b w:val="0"/>
                <w:i w:val="0"/>
                <w:sz w:val="18"/>
                <w:szCs w:val="18"/>
              </w:rPr>
              <w:t>Each person needs a named account.</w:t>
            </w:r>
          </w:p>
        </w:tc>
        <w:tc>
          <w:tcPr>
            <w:tcW w:type="dxa" w:w="2835"/>
          </w:tcPr>
          <w:p>
            <w:r/>
            <w:r>
              <w:rPr>
                <w:rFonts w:ascii="Calibri" w:hAnsi="Calibri" w:cs="Calibri" w:eastAsia="Calibri"/>
                <w:b w:val="0"/>
                <w:i w:val="0"/>
                <w:sz w:val="18"/>
                <w:szCs w:val="18"/>
              </w:rPr>
              <w:t>Two named support engineers (names withheld in sample)</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Target systems</w:t>
            </w:r>
          </w:p>
        </w:tc>
        <w:tc>
          <w:tcPr>
            <w:tcW w:type="dxa" w:w="3628"/>
          </w:tcPr>
          <w:p>
            <w:r/>
            <w:r>
              <w:rPr>
                <w:rFonts w:ascii="Calibri" w:hAnsi="Calibri" w:cs="Calibri" w:eastAsia="Calibri"/>
                <w:b w:val="0"/>
                <w:i w:val="0"/>
                <w:sz w:val="18"/>
                <w:szCs w:val="18"/>
              </w:rPr>
              <w:t>Hosts or applications.</w:t>
            </w:r>
          </w:p>
        </w:tc>
        <w:tc>
          <w:tcPr>
            <w:tcW w:type="dxa" w:w="2835"/>
          </w:tcPr>
          <w:p>
            <w:r/>
            <w:r>
              <w:rPr>
                <w:rFonts w:ascii="Calibri" w:hAnsi="Calibri" w:cs="Calibri" w:eastAsia="Calibri"/>
                <w:b w:val="0"/>
                <w:i w:val="0"/>
                <w:sz w:val="18"/>
                <w:szCs w:val="18"/>
              </w:rPr>
              <w:t>PACS application servers PACS-APP01 and PACS-APP02</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Purpose and ticket reference</w:t>
            </w:r>
          </w:p>
        </w:tc>
        <w:tc>
          <w:tcPr>
            <w:tcW w:type="dxa" w:w="3628"/>
          </w:tcPr>
          <w:p>
            <w:r/>
            <w:r>
              <w:rPr>
                <w:rFonts w:ascii="Calibri" w:hAnsi="Calibri" w:cs="Calibri" w:eastAsia="Calibri"/>
                <w:b w:val="0"/>
                <w:i w:val="0"/>
                <w:sz w:val="18"/>
                <w:szCs w:val="18"/>
              </w:rPr>
              <w:t>Support case or change number.</w:t>
            </w:r>
          </w:p>
        </w:tc>
        <w:tc>
          <w:tcPr>
            <w:tcW w:type="dxa" w:w="2835"/>
          </w:tcPr>
          <w:p>
            <w:r/>
            <w:r>
              <w:rPr>
                <w:rFonts w:ascii="Calibri" w:hAnsi="Calibri" w:cs="Calibri" w:eastAsia="Calibri"/>
                <w:b w:val="0"/>
                <w:i w:val="0"/>
                <w:sz w:val="18"/>
                <w:szCs w:val="18"/>
              </w:rPr>
              <w:t>Vendor case 55812; change CHG-2026-0612 PACS minor upgrade</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Access window</w:t>
            </w:r>
          </w:p>
        </w:tc>
        <w:tc>
          <w:tcPr>
            <w:tcW w:type="dxa" w:w="3628"/>
          </w:tcPr>
          <w:p>
            <w:r/>
            <w:r>
              <w:rPr>
                <w:rFonts w:ascii="Calibri" w:hAnsi="Calibri" w:cs="Calibri" w:eastAsia="Calibri"/>
                <w:b w:val="0"/>
                <w:i w:val="0"/>
                <w:sz w:val="18"/>
                <w:szCs w:val="18"/>
              </w:rPr>
              <w:t>Start and end date and time.</w:t>
            </w:r>
          </w:p>
        </w:tc>
        <w:tc>
          <w:tcPr>
            <w:tcW w:type="dxa" w:w="2835"/>
          </w:tcPr>
          <w:p>
            <w:r/>
            <w:r>
              <w:rPr>
                <w:rFonts w:ascii="Calibri" w:hAnsi="Calibri" w:cs="Calibri" w:eastAsia="Calibri"/>
                <w:b w:val="0"/>
                <w:i w:val="0"/>
                <w:sz w:val="18"/>
                <w:szCs w:val="18"/>
              </w:rPr>
              <w:t>14 September 2026 22:00 to 15 September 2026 04:00</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Access method</w:t>
            </w:r>
          </w:p>
        </w:tc>
        <w:tc>
          <w:tcPr>
            <w:tcW w:type="dxa" w:w="3628"/>
          </w:tcPr>
          <w:p>
            <w:r/>
            <w:r>
              <w:rPr>
                <w:rFonts w:ascii="Calibri" w:hAnsi="Calibri" w:cs="Calibri" w:eastAsia="Calibri"/>
                <w:b w:val="0"/>
                <w:i w:val="0"/>
                <w:sz w:val="18"/>
                <w:szCs w:val="18"/>
              </w:rPr>
              <w:t>PAM jump host with MFA and session recording.</w:t>
            </w:r>
          </w:p>
        </w:tc>
        <w:tc>
          <w:tcPr>
            <w:tcW w:type="dxa" w:w="2835"/>
          </w:tcPr>
          <w:p>
            <w:r/>
            <w:r>
              <w:rPr>
                <w:rFonts w:ascii="Calibri" w:hAnsi="Calibri" w:cs="Calibri" w:eastAsia="Calibri"/>
                <w:b w:val="0"/>
                <w:i w:val="0"/>
                <w:sz w:val="18"/>
                <w:szCs w:val="18"/>
              </w:rPr>
              <w:t>CMC PAM jump host, Microsoft Authenticator MFA, sessions recorded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NDA and contract confirmed</w:t>
            </w:r>
          </w:p>
        </w:tc>
        <w:tc>
          <w:tcPr>
            <w:tcW w:type="dxa" w:w="3628"/>
          </w:tcPr>
          <w:p>
            <w:r/>
            <w:r>
              <w:rPr>
                <w:rFonts w:ascii="Calibri" w:hAnsi="Calibri" w:cs="Calibri" w:eastAsia="Calibri"/>
                <w:b w:val="0"/>
                <w:i w:val="0"/>
                <w:sz w:val="18"/>
                <w:szCs w:val="18"/>
              </w:rPr>
              <w:t>GV-FRM-002 and contract clauses in place.</w:t>
            </w:r>
          </w:p>
        </w:tc>
        <w:tc>
          <w:tcPr>
            <w:tcW w:type="dxa" w:w="2835"/>
          </w:tcPr>
          <w:p>
            <w:r/>
            <w:r>
              <w:rPr>
                <w:rFonts w:ascii="Calibri" w:hAnsi="Calibri" w:cs="Calibri" w:eastAsia="Calibri"/>
                <w:b w:val="0"/>
                <w:i w:val="0"/>
                <w:sz w:val="18"/>
                <w:szCs w:val="18"/>
              </w:rPr>
              <w:t>GV-FRM-002 on file; contract clause SC-05 confirmed</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Account disabled after window</w:t>
            </w:r>
          </w:p>
        </w:tc>
        <w:tc>
          <w:tcPr>
            <w:tcW w:type="dxa" w:w="3628"/>
          </w:tcPr>
          <w:p>
            <w:r/>
            <w:r>
              <w:rPr>
                <w:rFonts w:ascii="Calibri" w:hAnsi="Calibri" w:cs="Calibri" w:eastAsia="Calibri"/>
                <w:b w:val="0"/>
                <w:i w:val="0"/>
                <w:sz w:val="18"/>
                <w:szCs w:val="18"/>
              </w:rPr>
              <w:t>Date and by whom.</w:t>
            </w:r>
          </w:p>
        </w:tc>
        <w:tc>
          <w:tcPr>
            <w:tcW w:type="dxa" w:w="2835"/>
          </w:tcPr>
          <w:p>
            <w:r/>
            <w:r>
              <w:rPr>
                <w:rFonts w:ascii="Calibri" w:hAnsi="Calibri" w:cs="Calibri" w:eastAsia="Calibri"/>
                <w:b w:val="0"/>
                <w:i w:val="0"/>
                <w:sz w:val="18"/>
                <w:szCs w:val="18"/>
              </w:rPr>
              <w:t>Disabled automatically 15 September 2026 04:00; verified by Security Engineer</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Make vendor accounts disabled by default and time-bound by the form.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One request covers an entire contract year for an unnamed vendor team.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p>
            <w:r>
              <w:rPr>
                <w:rFonts w:ascii="Calibri" w:hAnsi="Calibri" w:cs="Calibri" w:eastAsia="Calibri"/>
                <w:b w:val="0"/>
                <w:i w:val="0"/>
                <w:sz w:val="18"/>
                <w:szCs w:val="18"/>
              </w:rPr>
              <w:t>GV.SC-07: Supplier risks are understood, recorded, prioritized, assessed, responded to, and monitored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A.5.19, Annex A.8.20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AC-17, MA-4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5.19 and 8.20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PR-STD-003: Remote Access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PR-FRM-003  |  Third-Party Remote Access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