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Access Control Policy</w:t>
      </w:r>
    </w:p>
    <w:p>
      <w:pPr>
        <w:spacing w:after="80" w:before="0"/>
      </w:pPr>
      <w:r>
        <w:rPr>
          <w:rFonts w:ascii="Calibri" w:hAnsi="Calibri" w:cs="Calibri" w:eastAsia="Calibri"/>
          <w:b w:val="0"/>
          <w:i w:val="0"/>
          <w:color w:val="595959"/>
          <w:sz w:val="18"/>
          <w:szCs w:val="18"/>
        </w:rPr>
        <w:t>PR-POL-001  |  Policy  |  Identity Management, Authentication, and Access Control (PR.AA)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PR-POL-001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Access Control Policy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15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15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1: Policy</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Policy</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Identity Management, Authentication, and Access Control (PR.AA)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5.15; PDPC Notification on Security Measures B.E. 2565 (access control and audit trail)</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Technology, Legal and Regulatory, Privacy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5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15 March 2026</w:t>
            </w:r>
          </w:p>
        </w:tc>
        <w:tc>
          <w:tcPr>
            <w:tcW w:type="dxa" w:w="3742"/>
          </w:tcPr>
          <w:p>
            <w:r/>
            <w:r>
              <w:rPr>
                <w:rFonts w:ascii="Calibri" w:hAnsi="Calibri" w:cs="Calibri" w:eastAsia="Calibri"/>
                <w:b w:val="0"/>
                <w:i w:val="0"/>
                <w:sz w:val="18"/>
                <w:szCs w:val="18"/>
              </w:rPr>
              <w:t>Updated in July 2026 to add badge tap plus PIN for shared clinical workstations after the Ward 5A and 6B pilot.</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sets the principles for granting, using, reviewing, and removing access to Chaophraya Medical Center (CMC) information and systems, so that only authorized and authenticated users access what they need (PR.AA).</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Policy Statements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mandatory access control principles.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Access to HIS is role-based by clinical function (physician, nurse, pharmacist, registration) and approved by the department head.</w:t>
      </w:r>
    </w:p>
    <w:p>
      <w:pPr>
        <w:pStyle w:val="ListBullet"/>
        <w:spacing w:after="40"/>
      </w:pPr>
      <w:r>
        <w:rPr>
          <w:rFonts w:ascii="Calibri" w:hAnsi="Calibri" w:cs="Calibri" w:eastAsia="Calibri"/>
          <w:b w:val="0"/>
          <w:i w:val="0"/>
          <w:sz w:val="21"/>
          <w:szCs w:val="21"/>
        </w:rPr>
        <w:t>Every staff member has a unique account; shared ward accounts were removed in 2025.</w:t>
      </w:r>
    </w:p>
    <w:p>
      <w:pPr>
        <w:pStyle w:val="ListBullet"/>
        <w:spacing w:after="40"/>
      </w:pPr>
      <w:r>
        <w:rPr>
          <w:rFonts w:ascii="Calibri" w:hAnsi="Calibri" w:cs="Calibri" w:eastAsia="Calibri"/>
          <w:b w:val="0"/>
          <w:i w:val="0"/>
          <w:sz w:val="21"/>
          <w:szCs w:val="21"/>
        </w:rPr>
        <w:t>MFA is required for remote access, privileged access, and all vendor access. Shared clinical workstations use badge tap plus PIN to balance speed and security.</w:t>
      </w:r>
    </w:p>
    <w:p>
      <w:pPr>
        <w:pStyle w:val="ListBullet"/>
        <w:spacing w:after="40"/>
      </w:pPr>
      <w:r>
        <w:rPr>
          <w:rFonts w:ascii="Calibri" w:hAnsi="Calibri" w:cs="Calibri" w:eastAsia="Calibri"/>
          <w:b w:val="0"/>
          <w:i w:val="0"/>
          <w:sz w:val="21"/>
          <w:szCs w:val="21"/>
        </w:rPr>
        <w:t>Administrators use separate admin accounts through the PAM jump host.</w:t>
      </w:r>
    </w:p>
    <w:p>
      <w:pPr>
        <w:pStyle w:val="ListBullet"/>
        <w:spacing w:after="40"/>
      </w:pPr>
      <w:r>
        <w:rPr>
          <w:rFonts w:ascii="Calibri" w:hAnsi="Calibri" w:cs="Calibri" w:eastAsia="Calibri"/>
          <w:b w:val="0"/>
          <w:i w:val="0"/>
          <w:sz w:val="21"/>
          <w:szCs w:val="21"/>
        </w:rPr>
        <w:t>Pharmacy order verification and dispensing are segregated in HIS.</w:t>
      </w:r>
    </w:p>
    <w:p>
      <w:pPr>
        <w:pStyle w:val="ListBullet"/>
        <w:spacing w:after="40"/>
      </w:pPr>
      <w:r>
        <w:rPr>
          <w:rFonts w:ascii="Calibri" w:hAnsi="Calibri" w:cs="Calibri" w:eastAsia="Calibri"/>
          <w:b w:val="0"/>
          <w:i w:val="0"/>
          <w:sz w:val="21"/>
          <w:szCs w:val="21"/>
        </w:rPr>
        <w:t>HIS, PACS, LIS, and privileged access are reviewed quarterly; other systems semi-annually.</w:t>
      </w:r>
    </w:p>
    <w:p>
      <w:pPr>
        <w:pStyle w:val="ListBullet"/>
        <w:spacing w:after="40"/>
      </w:pPr>
      <w:r>
        <w:rPr>
          <w:rFonts w:ascii="Calibri" w:hAnsi="Calibri" w:cs="Calibri" w:eastAsia="Calibri"/>
          <w:b w:val="0"/>
          <w:i w:val="0"/>
          <w:sz w:val="21"/>
          <w:szCs w:val="21"/>
        </w:rPr>
        <w:t>Leavers are disabled on the last working day through HR integration.</w:t>
      </w:r>
    </w:p>
    <w:p>
      <w:pPr>
        <w:pStyle w:val="ListBullet"/>
        <w:spacing w:after="40"/>
      </w:pPr>
      <w:r>
        <w:rPr>
          <w:rFonts w:ascii="Calibri" w:hAnsi="Calibri" w:cs="Calibri" w:eastAsia="Calibri"/>
          <w:b w:val="0"/>
          <w:i w:val="0"/>
          <w:sz w:val="21"/>
          <w:szCs w:val="21"/>
        </w:rPr>
        <w:t>All access to patient records is logged in HIS and retained for at least two years for privacy investigations.</w:t>
      </w:r>
    </w:p>
    <w:p>
      <w:pPr>
        <w:pStyle w:val="Heading2"/>
        <w:keepNext/>
        <w:spacing w:before="120" w:after="80"/>
      </w:pPr>
      <w:r>
        <w:rPr>
          <w:rFonts w:ascii="Calibri" w:hAnsi="Calibri" w:cs="Calibri" w:eastAsia="Calibri"/>
          <w:b/>
          <w:i w:val="0"/>
          <w:color w:val="1F3864"/>
          <w:sz w:val="24"/>
          <w:szCs w:val="24"/>
          <w:bCs/>
        </w:rPr>
        <w:t>4.4 Emergency Access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controlled emergency (break-glass) access.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Break-glass access in HIS lets clinicians view a patient record outside their assigned ward in emergencies. Each use requires a reason, is logged, and is reviewed by the DPO team within one working day.</w:t>
      </w:r>
    </w:p>
    <w:p>
      <w:pPr>
        <w:pStyle w:val="Heading2"/>
        <w:keepNext/>
        <w:spacing w:before="120" w:after="80"/>
      </w:pPr>
      <w:r>
        <w:rPr>
          <w:rFonts w:ascii="Calibri" w:hAnsi="Calibri" w:cs="Calibri" w:eastAsia="Calibri"/>
          <w:b/>
          <w:i w:val="0"/>
          <w:color w:val="1F3864"/>
          <w:sz w:val="24"/>
          <w:szCs w:val="24"/>
          <w:bCs/>
        </w:rPr>
        <w:t>4.5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policy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Define role-based access profiles with business owners; it reduces approval effort and access creep.</w:t>
      </w:r>
    </w:p>
    <w:p>
      <w:pPr>
        <w:pStyle w:val="ListBullet"/>
        <w:spacing w:after="40"/>
      </w:pPr>
      <w:r>
        <w:rPr>
          <w:rFonts w:ascii="Calibri" w:hAnsi="Calibri" w:cs="Calibri" w:eastAsia="Calibri"/>
          <w:b w:val="0"/>
          <w:i w:val="0"/>
          <w:sz w:val="21"/>
          <w:szCs w:val="21"/>
        </w:rPr>
        <w:t>Centralize identity through single sign-on (SSO) where possible so one disable action removes all access.</w:t>
      </w:r>
    </w:p>
    <w:p>
      <w:pPr>
        <w:pStyle w:val="ListBullet"/>
        <w:spacing w:after="40"/>
      </w:pPr>
      <w:r>
        <w:rPr>
          <w:rFonts w:ascii="Calibri" w:hAnsi="Calibri" w:cs="Calibri" w:eastAsia="Calibri"/>
          <w:b w:val="0"/>
          <w:i w:val="0"/>
          <w:sz w:val="21"/>
          <w:szCs w:val="21"/>
        </w:rPr>
        <w:t>Design clinical or operational access for speed as well as security; slow login drives workarounds.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Granting access by copying another user's profile, which spreads excessive rights.</w:t>
      </w:r>
    </w:p>
    <w:p>
      <w:pPr>
        <w:pStyle w:val="ListBullet"/>
        <w:spacing w:after="40"/>
      </w:pPr>
      <w:r>
        <w:rPr>
          <w:rFonts w:ascii="Calibri" w:hAnsi="Calibri" w:cs="Calibri" w:eastAsia="Calibri"/>
          <w:b w:val="0"/>
          <w:i w:val="0"/>
          <w:sz w:val="21"/>
          <w:szCs w:val="21"/>
        </w:rPr>
        <w:t>Access reviews done by IT rather than by business owners who know who needs access.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PR.AA-01: Identities and credentials for authorized users, services, and hardware are managed</w:t>
            </w:r>
          </w:p>
          <w:p>
            <w:r>
              <w:rPr>
                <w:rFonts w:ascii="Calibri" w:hAnsi="Calibri" w:cs="Calibri" w:eastAsia="Calibri"/>
                <w:b w:val="0"/>
                <w:i w:val="0"/>
                <w:sz w:val="18"/>
                <w:szCs w:val="18"/>
              </w:rPr>
              <w:t>PR.AA-02: Identities are proofed and bound to credentials based on the context of interactions</w:t>
            </w:r>
          </w:p>
          <w:p>
            <w:r>
              <w:rPr>
                <w:rFonts w:ascii="Calibri" w:hAnsi="Calibri" w:cs="Calibri" w:eastAsia="Calibri"/>
                <w:b w:val="0"/>
                <w:i w:val="0"/>
                <w:sz w:val="18"/>
                <w:szCs w:val="18"/>
              </w:rPr>
              <w:t>PR.AA-03: Users, services, and hardware are authenticated</w:t>
            </w:r>
          </w:p>
          <w:p>
            <w:r>
              <w:rPr>
                <w:rFonts w:ascii="Calibri" w:hAnsi="Calibri" w:cs="Calibri" w:eastAsia="Calibri"/>
                <w:b w:val="0"/>
                <w:i w:val="0"/>
                <w:sz w:val="18"/>
                <w:szCs w:val="18"/>
              </w:rPr>
              <w:t>PR.AA-04: Identity assertions are protected, conveyed, and verified</w:t>
            </w:r>
          </w:p>
          <w:p>
            <w:r>
              <w:rPr>
                <w:rFonts w:ascii="Calibri" w:hAnsi="Calibri" w:cs="Calibri" w:eastAsia="Calibri"/>
                <w:b w:val="0"/>
                <w:i w:val="0"/>
                <w:sz w:val="18"/>
                <w:szCs w:val="18"/>
              </w:rPr>
              <w:t>PR.AA-05: Access permissions, entitlements, and authorizations are defined, managed, enforced, and reviewed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A.5.15, Annex A.5.18, Annex A.8.3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AC-1, IA-1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5.15; PDPC Notification on Security Measures B.E. 2565 (access control and audit trail)</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PR-STD-001: Identity and Authentication Standard</w:t>
            </w:r>
          </w:p>
          <w:p>
            <w:r>
              <w:rPr>
                <w:rFonts w:ascii="Calibri" w:hAnsi="Calibri" w:cs="Calibri" w:eastAsia="Calibri"/>
                <w:b w:val="0"/>
                <w:i w:val="0"/>
                <w:sz w:val="18"/>
                <w:szCs w:val="18"/>
              </w:rPr>
              <w:t>PR-STD-002: Privileged Access Management Standard</w:t>
            </w:r>
          </w:p>
          <w:p>
            <w:r>
              <w:rPr>
                <w:rFonts w:ascii="Calibri" w:hAnsi="Calibri" w:cs="Calibri" w:eastAsia="Calibri"/>
                <w:b w:val="0"/>
                <w:i w:val="0"/>
                <w:sz w:val="18"/>
                <w:szCs w:val="18"/>
              </w:rPr>
              <w:t>PR-STD-003: Remote Access Standard</w:t>
            </w:r>
          </w:p>
          <w:p>
            <w:r>
              <w:rPr>
                <w:rFonts w:ascii="Calibri" w:hAnsi="Calibri" w:cs="Calibri" w:eastAsia="Calibri"/>
                <w:b w:val="0"/>
                <w:i w:val="0"/>
                <w:sz w:val="18"/>
                <w:szCs w:val="18"/>
              </w:rPr>
              <w:t>PR-PRC-001: User Access Management Procedure</w:t>
            </w:r>
          </w:p>
          <w:p>
            <w:r>
              <w:rPr>
                <w:rFonts w:ascii="Calibri" w:hAnsi="Calibri" w:cs="Calibri" w:eastAsia="Calibri"/>
                <w:b w:val="0"/>
                <w:i w:val="0"/>
                <w:sz w:val="18"/>
                <w:szCs w:val="18"/>
              </w:rPr>
              <w:t>PR-PRC-002: User Access Review Procedure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PR-POL-001  |  Access Control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