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Physical and Environmental Security Policy</w:t>
      </w:r>
    </w:p>
    <w:p>
      <w:pPr>
        <w:spacing w:after="80" w:before="0"/>
      </w:pPr>
      <w:r>
        <w:rPr>
          <w:rFonts w:ascii="Calibri" w:hAnsi="Calibri" w:cs="Calibri" w:eastAsia="Calibri"/>
          <w:b w:val="0"/>
          <w:i w:val="0"/>
          <w:color w:val="595959"/>
          <w:sz w:val="18"/>
          <w:szCs w:val="18"/>
        </w:rPr>
        <w:t>PR-POL-002  |  Policy  |  Identity Management, Authentication, and Access Control (PR.AA)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PR-POL-002</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Physical and Environmental Security Policy</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Facilities and Engineering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Executive Officer (CEO)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 August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 August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1: Policy</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Policy</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Identity Management, Authentication, and Access Control (PR.AA)</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7.1 to 7.14</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Physical (A.7); tags: Physical</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 September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Facilities and Engineering Manager</w:t>
            </w:r>
          </w:p>
        </w:tc>
        <w:tc>
          <w:tcPr>
            <w:tcW w:type="dxa" w:w="1531"/>
          </w:tcPr>
          <w:p>
            <w:r/>
            <w:r>
              <w:rPr>
                <w:rFonts w:ascii="Calibri" w:hAnsi="Calibri" w:cs="Calibri" w:eastAsia="Calibri"/>
                <w:b w:val="0"/>
                <w:i w:val="0"/>
                <w:sz w:val="18"/>
                <w:szCs w:val="18"/>
              </w:rPr>
              <w:t>Chief Executive Officer (CEO)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 August 2026</w:t>
            </w:r>
          </w:p>
        </w:tc>
        <w:tc>
          <w:tcPr>
            <w:tcW w:type="dxa" w:w="3742"/>
          </w:tcPr>
          <w:p>
            <w:r/>
            <w:r>
              <w:rPr>
                <w:rFonts w:ascii="Calibri" w:hAnsi="Calibri" w:cs="Calibri" w:eastAsia="Calibri"/>
                <w:b w:val="0"/>
                <w:i w:val="0"/>
                <w:sz w:val="18"/>
                <w:szCs w:val="18"/>
              </w:rPr>
              <w:t>Updated after the November 2025 internal audit (IA-2025-04) and the 2026 control gap review.</w:t>
            </w:r>
          </w:p>
        </w:tc>
        <w:tc>
          <w:tcPr>
            <w:tcW w:type="dxa" w:w="1587"/>
          </w:tcPr>
          <w:p>
            <w:r/>
            <w:r>
              <w:rPr>
                <w:rFonts w:ascii="Calibri" w:hAnsi="Calibri" w:cs="Calibri" w:eastAsia="Calibri"/>
                <w:b w:val="0"/>
                <w:i w:val="0"/>
                <w:sz w:val="18"/>
                <w:szCs w:val="18"/>
              </w:rPr>
              <w:t>Facilities and Engineering Manager</w:t>
            </w:r>
          </w:p>
        </w:tc>
        <w:tc>
          <w:tcPr>
            <w:tcW w:type="dxa" w:w="1531"/>
          </w:tcPr>
          <w:p>
            <w:r/>
            <w:r>
              <w:rPr>
                <w:rFonts w:ascii="Calibri" w:hAnsi="Calibri" w:cs="Calibri" w:eastAsia="Calibri"/>
                <w:b w:val="0"/>
                <w:i w:val="0"/>
                <w:sz w:val="18"/>
                <w:szCs w:val="18"/>
              </w:rPr>
              <w:t>Chief Executive Officer (CEO)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policy sets principles for protecting facilities, equipment, and people from unauthorized physical access and environmental threats (PR.AA-06, PR.IR-02, DE.CM-02).</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policy applies to all employees, contractors, temporary staff, and third parties who access Chaophraya Medical Center (CMC) information or information systems, at all sites, including cloud services operated on behalf of Chaophraya Medical Center (CMC).</w:t>
      </w:r>
    </w:p>
    <w:p>
      <w:pPr>
        <w:pStyle w:val="Heading2"/>
        <w:keepNext/>
        <w:spacing w:before="120" w:after="80"/>
      </w:pPr>
      <w:r>
        <w:rPr>
          <w:rFonts w:ascii="Calibri" w:hAnsi="Calibri" w:cs="Calibri" w:eastAsia="Calibri"/>
          <w:b/>
          <w:i w:val="0"/>
          <w:color w:val="1F3864"/>
          <w:sz w:val="24"/>
          <w:szCs w:val="24"/>
          <w:bCs/>
        </w:rPr>
        <w:t>4.3 Security Zones and Controls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physical zones and required controls.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1417"/>
        <w:gridCol w:w="3118"/>
        <w:gridCol w:w="4819"/>
      </w:tblGrid>
      <w:tr>
        <w:trPr>
          <w:tblHeader w:val="true"/>
        </w:trPr>
        <w:tc>
          <w:tcPr>
            <w:tcW w:type="dxa" w:w="1417"/>
            <w:shd w:val="clear" w:color="auto" w:fill="1F3864"/>
          </w:tcPr>
          <w:p>
            <w:r/>
            <w:r>
              <w:rPr>
                <w:rFonts w:ascii="Calibri" w:hAnsi="Calibri" w:cs="Calibri" w:eastAsia="Calibri"/>
                <w:b/>
                <w:i w:val="0"/>
                <w:color w:val="FFFFFF"/>
                <w:sz w:val="18"/>
                <w:szCs w:val="18"/>
                <w:bCs/>
              </w:rPr>
              <w:t>Zone</w:t>
            </w:r>
          </w:p>
        </w:tc>
        <w:tc>
          <w:tcPr>
            <w:tcW w:type="dxa" w:w="3118"/>
            <w:shd w:val="clear" w:color="auto" w:fill="1F3864"/>
          </w:tcPr>
          <w:p>
            <w:r/>
            <w:r>
              <w:rPr>
                <w:rFonts w:ascii="Calibri" w:hAnsi="Calibri" w:cs="Calibri" w:eastAsia="Calibri"/>
                <w:b/>
                <w:i w:val="0"/>
                <w:color w:val="FFFFFF"/>
                <w:sz w:val="18"/>
                <w:szCs w:val="18"/>
                <w:bCs/>
              </w:rPr>
              <w:t>Examples</w:t>
            </w:r>
          </w:p>
        </w:tc>
        <w:tc>
          <w:tcPr>
            <w:tcW w:type="dxa" w:w="4819"/>
            <w:shd w:val="clear" w:color="auto" w:fill="1F3864"/>
          </w:tcPr>
          <w:p>
            <w:r/>
            <w:r>
              <w:rPr>
                <w:rFonts w:ascii="Calibri" w:hAnsi="Calibri" w:cs="Calibri" w:eastAsia="Calibri"/>
                <w:b/>
                <w:i w:val="0"/>
                <w:color w:val="FFFFFF"/>
                <w:sz w:val="18"/>
                <w:szCs w:val="18"/>
                <w:bCs/>
              </w:rPr>
              <w:t>Minimum controls</w:t>
            </w:r>
          </w:p>
        </w:tc>
      </w:tr>
      <w:tr>
        <w:tc>
          <w:tcPr>
            <w:tcW w:type="dxa" w:w="1417"/>
          </w:tcPr>
          <w:p>
            <w:r/>
            <w:r>
              <w:rPr>
                <w:rFonts w:ascii="Calibri" w:hAnsi="Calibri" w:cs="Calibri" w:eastAsia="Calibri"/>
                <w:b w:val="0"/>
                <w:i w:val="0"/>
                <w:sz w:val="18"/>
                <w:szCs w:val="18"/>
              </w:rPr>
              <w:t>Public</w:t>
            </w:r>
          </w:p>
        </w:tc>
        <w:tc>
          <w:tcPr>
            <w:tcW w:type="dxa" w:w="3118"/>
          </w:tcPr>
          <w:p>
            <w:r/>
            <w:r>
              <w:rPr>
                <w:rFonts w:ascii="Calibri" w:hAnsi="Calibri" w:cs="Calibri" w:eastAsia="Calibri"/>
                <w:b w:val="0"/>
                <w:i w:val="0"/>
                <w:sz w:val="18"/>
                <w:szCs w:val="18"/>
              </w:rPr>
              <w:t>Lobby, reception</w:t>
            </w:r>
          </w:p>
        </w:tc>
        <w:tc>
          <w:tcPr>
            <w:tcW w:type="dxa" w:w="4819"/>
          </w:tcPr>
          <w:p>
            <w:r/>
            <w:r>
              <w:rPr>
                <w:rFonts w:ascii="Calibri" w:hAnsi="Calibri" w:cs="Calibri" w:eastAsia="Calibri"/>
                <w:b w:val="0"/>
                <w:i w:val="0"/>
                <w:sz w:val="18"/>
                <w:szCs w:val="18"/>
              </w:rPr>
              <w:t>Staffed reception, CCTV</w:t>
            </w:r>
          </w:p>
        </w:tc>
      </w:tr>
      <w:tr>
        <w:tc>
          <w:tcPr>
            <w:tcW w:type="dxa" w:w="1417"/>
          </w:tcPr>
          <w:p>
            <w:r/>
            <w:r>
              <w:rPr>
                <w:rFonts w:ascii="Calibri" w:hAnsi="Calibri" w:cs="Calibri" w:eastAsia="Calibri"/>
                <w:b w:val="0"/>
                <w:i w:val="0"/>
                <w:sz w:val="18"/>
                <w:szCs w:val="18"/>
              </w:rPr>
              <w:t>Internal</w:t>
            </w:r>
          </w:p>
        </w:tc>
        <w:tc>
          <w:tcPr>
            <w:tcW w:type="dxa" w:w="3118"/>
          </w:tcPr>
          <w:p>
            <w:r/>
            <w:r>
              <w:rPr>
                <w:rFonts w:ascii="Calibri" w:hAnsi="Calibri" w:cs="Calibri" w:eastAsia="Calibri"/>
                <w:b w:val="0"/>
                <w:i w:val="0"/>
                <w:sz w:val="18"/>
                <w:szCs w:val="18"/>
              </w:rPr>
              <w:t>Offices, wards</w:t>
            </w:r>
          </w:p>
        </w:tc>
        <w:tc>
          <w:tcPr>
            <w:tcW w:type="dxa" w:w="4819"/>
          </w:tcPr>
          <w:p>
            <w:r/>
            <w:r>
              <w:rPr>
                <w:rFonts w:ascii="Calibri" w:hAnsi="Calibri" w:cs="Calibri" w:eastAsia="Calibri"/>
                <w:b w:val="0"/>
                <w:i w:val="0"/>
                <w:sz w:val="18"/>
                <w:szCs w:val="18"/>
              </w:rPr>
              <w:t>Badge access or staffed entry, visitor badges</w:t>
            </w:r>
          </w:p>
        </w:tc>
      </w:tr>
      <w:tr>
        <w:tc>
          <w:tcPr>
            <w:tcW w:type="dxa" w:w="1417"/>
          </w:tcPr>
          <w:p>
            <w:r/>
            <w:r>
              <w:rPr>
                <w:rFonts w:ascii="Calibri" w:hAnsi="Calibri" w:cs="Calibri" w:eastAsia="Calibri"/>
                <w:b w:val="0"/>
                <w:i w:val="0"/>
                <w:sz w:val="18"/>
                <w:szCs w:val="18"/>
              </w:rPr>
              <w:t>Secure</w:t>
            </w:r>
          </w:p>
        </w:tc>
        <w:tc>
          <w:tcPr>
            <w:tcW w:type="dxa" w:w="3118"/>
          </w:tcPr>
          <w:p>
            <w:r/>
            <w:r>
              <w:rPr>
                <w:rFonts w:ascii="Calibri" w:hAnsi="Calibri" w:cs="Calibri" w:eastAsia="Calibri"/>
                <w:b w:val="0"/>
                <w:i w:val="0"/>
                <w:sz w:val="18"/>
                <w:szCs w:val="18"/>
              </w:rPr>
              <w:t>Server rooms, network closets</w:t>
            </w:r>
          </w:p>
        </w:tc>
        <w:tc>
          <w:tcPr>
            <w:tcW w:type="dxa" w:w="4819"/>
          </w:tcPr>
          <w:p>
            <w:r/>
            <w:r>
              <w:rPr>
                <w:rFonts w:ascii="Calibri" w:hAnsi="Calibri" w:cs="Calibri" w:eastAsia="Calibri"/>
                <w:b w:val="0"/>
                <w:i w:val="0"/>
                <w:sz w:val="18"/>
                <w:szCs w:val="18"/>
              </w:rPr>
              <w:t>Badge plus PIN, access list, CCTV, access log reviewed monthly</w:t>
            </w:r>
          </w:p>
        </w:tc>
      </w:tr>
      <w:tr>
        <w:tc>
          <w:tcPr>
            <w:tcW w:type="dxa" w:w="1417"/>
          </w:tcPr>
          <w:p>
            <w:r/>
            <w:r>
              <w:rPr>
                <w:rFonts w:ascii="Calibri" w:hAnsi="Calibri" w:cs="Calibri" w:eastAsia="Calibri"/>
                <w:b w:val="0"/>
                <w:i w:val="0"/>
                <w:sz w:val="18"/>
                <w:szCs w:val="18"/>
              </w:rPr>
              <w:t>Critical</w:t>
            </w:r>
          </w:p>
        </w:tc>
        <w:tc>
          <w:tcPr>
            <w:tcW w:type="dxa" w:w="3118"/>
          </w:tcPr>
          <w:p>
            <w:r/>
            <w:r>
              <w:rPr>
                <w:rFonts w:ascii="Calibri" w:hAnsi="Calibri" w:cs="Calibri" w:eastAsia="Calibri"/>
                <w:b w:val="0"/>
                <w:i w:val="0"/>
                <w:sz w:val="18"/>
                <w:szCs w:val="18"/>
              </w:rPr>
              <w:t>Data center</w:t>
            </w:r>
          </w:p>
        </w:tc>
        <w:tc>
          <w:tcPr>
            <w:tcW w:type="dxa" w:w="4819"/>
          </w:tcPr>
          <w:p>
            <w:r/>
            <w:r>
              <w:rPr>
                <w:rFonts w:ascii="Calibri" w:hAnsi="Calibri" w:cs="Calibri" w:eastAsia="Calibri"/>
                <w:b w:val="0"/>
                <w:i w:val="0"/>
                <w:sz w:val="18"/>
                <w:szCs w:val="18"/>
              </w:rPr>
              <w:t>Two-factor entry, escort for visitors, CCTV with 90-day retention, environmental monitoring</w:t>
            </w:r>
          </w:p>
        </w:tc>
      </w:tr>
    </w:tbl>
    <w:p>
      <w:pPr>
        <w:spacing w:after="40"/>
      </w:pPr>
    </w:p>
    <w:p>
      <w:pPr>
        <w:pStyle w:val="Heading2"/>
        <w:keepNext/>
        <w:spacing w:before="120" w:after="80"/>
      </w:pPr>
      <w:r>
        <w:rPr>
          <w:rFonts w:ascii="Calibri" w:hAnsi="Calibri" w:cs="Calibri" w:eastAsia="Calibri"/>
          <w:b/>
          <w:i w:val="0"/>
          <w:color w:val="1F3864"/>
          <w:sz w:val="24"/>
          <w:szCs w:val="24"/>
          <w:bCs/>
        </w:rPr>
        <w:t>4.4 Environmental Protection</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Set requirements against fire, flood, power, and temperature threats (PR.IR-02).</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The Riverside data center has gas fire suppression, dual UPS, a generator with 48 hours of fuel, and temperature alerts to the IT on-call phone.</w:t>
      </w:r>
    </w:p>
    <w:p>
      <w:pPr>
        <w:pStyle w:val="ListBullet"/>
        <w:spacing w:after="40"/>
      </w:pPr>
      <w:r>
        <w:rPr>
          <w:rFonts w:ascii="Calibri" w:hAnsi="Calibri" w:cs="Calibri" w:eastAsia="Calibri"/>
          <w:b w:val="0"/>
          <w:i w:val="0"/>
          <w:sz w:val="21"/>
          <w:szCs w:val="21"/>
        </w:rPr>
        <w:t>After the 2011 flood experience, Riverside network equipment was moved to the third floor.</w:t>
      </w:r>
    </w:p>
    <w:p>
      <w:pPr>
        <w:pStyle w:val="ListBullet"/>
        <w:spacing w:after="40"/>
      </w:pPr>
      <w:r>
        <w:rPr>
          <w:rFonts w:ascii="Calibri" w:hAnsi="Calibri" w:cs="Calibri" w:eastAsia="Calibri"/>
          <w:b w:val="0"/>
          <w:i w:val="0"/>
          <w:sz w:val="21"/>
          <w:szCs w:val="21"/>
        </w:rPr>
        <w:t>Generator load tests run monthly; UPS battery tests quarterly by Facilities.</w:t>
      </w:r>
    </w:p>
    <w:p>
      <w:pPr>
        <w:pStyle w:val="Heading2"/>
        <w:keepNext/>
        <w:spacing w:before="120" w:after="80"/>
      </w:pPr>
      <w:r>
        <w:rPr>
          <w:rFonts w:ascii="Calibri" w:hAnsi="Calibri" w:cs="Calibri" w:eastAsia="Calibri"/>
          <w:b/>
          <w:i w:val="0"/>
          <w:color w:val="1F3864"/>
          <w:sz w:val="24"/>
          <w:szCs w:val="24"/>
          <w:bCs/>
        </w:rPr>
        <w:t>4.5 Compliance and Exceptions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that compliance is mandatory, how compliance is verified, how exceptions are requested, and the consequence of violation.</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Compliance with this policy is mandatory for everyone in scope.</w:t>
      </w:r>
    </w:p>
    <w:p>
      <w:pPr>
        <w:pStyle w:val="ListBullet"/>
        <w:spacing w:after="40"/>
      </w:pPr>
      <w:r>
        <w:rPr>
          <w:rFonts w:ascii="Calibri" w:hAnsi="Calibri" w:cs="Calibri" w:eastAsia="Calibri"/>
          <w:b w:val="0"/>
          <w:i w:val="0"/>
          <w:sz w:val="21"/>
          <w:szCs w:val="21"/>
        </w:rPr>
        <w:t>The Security Manager verifies compliance through periodic reviews, technical checks, and internal audit (GV-PRC-007).</w:t>
      </w:r>
    </w:p>
    <w:p>
      <w:pPr>
        <w:pStyle w:val="ListBullet"/>
        <w:spacing w:after="40"/>
      </w:pPr>
      <w:r>
        <w:rPr>
          <w:rFonts w:ascii="Calibri" w:hAnsi="Calibri" w:cs="Calibri" w:eastAsia="Calibri"/>
          <w:b w:val="0"/>
          <w:i w:val="0"/>
          <w:sz w:val="21"/>
          <w:szCs w:val="21"/>
        </w:rPr>
        <w:t>Requests for deviation follow the Policy Exception Management Procedure (GV-PRC-003). No exception is valid without written approval and an expiry date.</w:t>
      </w:r>
    </w:p>
    <w:p>
      <w:pPr>
        <w:pStyle w:val="ListBullet"/>
        <w:spacing w:after="40"/>
      </w:pPr>
      <w:r>
        <w:rPr>
          <w:rFonts w:ascii="Calibri" w:hAnsi="Calibri" w:cs="Calibri" w:eastAsia="Calibri"/>
          <w:b w:val="0"/>
          <w:i w:val="0"/>
          <w:sz w:val="21"/>
          <w:szCs w:val="21"/>
        </w:rPr>
        <w:t>Violations may result in disciplinary action under the Human Resources Security Standard (GV-STD-001) and applicable law.</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Review physical access lists for secure areas monthly and remove leavers immediately.</w:t>
      </w:r>
    </w:p>
    <w:p>
      <w:pPr>
        <w:pStyle w:val="ListBullet"/>
        <w:spacing w:after="40"/>
      </w:pPr>
      <w:r>
        <w:rPr>
          <w:rFonts w:ascii="Calibri" w:hAnsi="Calibri" w:cs="Calibri" w:eastAsia="Calibri"/>
          <w:b w:val="0"/>
          <w:i w:val="0"/>
          <w:sz w:val="21"/>
          <w:szCs w:val="21"/>
        </w:rPr>
        <w:t>Integrate badge system events with security monitoring for after-hours alerts.</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Network closets left unlocked or used as storage rooms.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PR.AA-06: Physical access to assets is managed, monitored, and enforced commensurate with risk</w:t>
            </w:r>
          </w:p>
          <w:p>
            <w:r>
              <w:rPr>
                <w:rFonts w:ascii="Calibri" w:hAnsi="Calibri" w:cs="Calibri" w:eastAsia="Calibri"/>
                <w:b w:val="0"/>
                <w:i w:val="0"/>
                <w:sz w:val="18"/>
                <w:szCs w:val="18"/>
              </w:rPr>
              <w:t>PR.IR-02: Technology assets are protected from environmental threats</w:t>
            </w:r>
          </w:p>
          <w:p>
            <w:r>
              <w:rPr>
                <w:rFonts w:ascii="Calibri" w:hAnsi="Calibri" w:cs="Calibri" w:eastAsia="Calibri"/>
                <w:b w:val="0"/>
                <w:i w:val="0"/>
                <w:sz w:val="18"/>
                <w:szCs w:val="18"/>
              </w:rPr>
              <w:t>DE.CM-02: The physical environment is monitored to find potentially adverse events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A.7.1, Annex A.7.2, Annex A.7.4, Annex A.7.5, Annex A.7.11</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PE-1</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7.1 to 7.14</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GV-POL-001: Information Security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PR-PRC-003: Physical Access Management Procedure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PR-POL-002  |  Physical and Environmental Security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