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User Access Management Procedure</w:t>
      </w:r>
    </w:p>
    <w:p>
      <w:pPr>
        <w:spacing w:after="80" w:before="0"/>
      </w:pPr>
      <w:r>
        <w:rPr>
          <w:rFonts w:ascii="Calibri" w:hAnsi="Calibri" w:cs="Calibri" w:eastAsia="Calibri"/>
          <w:b w:val="0"/>
          <w:i w:val="0"/>
          <w:color w:val="595959"/>
          <w:sz w:val="18"/>
          <w:szCs w:val="18"/>
        </w:rPr>
        <w:t>PR-PRC-001  |  Procedure  |  Identity Management, Authentication, and Access Control (PR.AA)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User Access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5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5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Identity Management, Authentication, and Access Control (PR.AA)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5.16 and 5.18; PDPC Notification on Security Measures B.E. 2565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6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5 August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describes how user access is requested, approved, provisioned, changed, and removed for joiners, movers, and leavers (PR.AA-01, PR.AA-05).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steps for joiner, mover, and leaver events with timelines.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417"/>
        <w:gridCol w:w="4819"/>
        <w:gridCol w:w="1701"/>
        <w:gridCol w:w="1417"/>
      </w:tblGrid>
      <w:tr>
        <w:trPr>
          <w:tblHeader w:val="true"/>
        </w:trPr>
        <w:tc>
          <w:tcPr>
            <w:tcW w:type="dxa" w:w="1417"/>
            <w:shd w:val="clear" w:color="auto" w:fill="1F3864"/>
          </w:tcPr>
          <w:p>
            <w:r/>
            <w:r>
              <w:rPr>
                <w:rFonts w:ascii="Calibri" w:hAnsi="Calibri" w:cs="Calibri" w:eastAsia="Calibri"/>
                <w:b/>
                <w:i w:val="0"/>
                <w:color w:val="FFFFFF"/>
                <w:sz w:val="18"/>
                <w:szCs w:val="18"/>
                <w:bCs/>
              </w:rPr>
              <w:t>Event</w:t>
            </w:r>
          </w:p>
        </w:tc>
        <w:tc>
          <w:tcPr>
            <w:tcW w:type="dxa" w:w="4819"/>
            <w:shd w:val="clear" w:color="auto" w:fill="1F3864"/>
          </w:tcPr>
          <w:p>
            <w:r/>
            <w:r>
              <w:rPr>
                <w:rFonts w:ascii="Calibri" w:hAnsi="Calibri" w:cs="Calibri" w:eastAsia="Calibri"/>
                <w:b/>
                <w:i w:val="0"/>
                <w:color w:val="FFFFFF"/>
                <w:sz w:val="18"/>
                <w:szCs w:val="18"/>
                <w:bCs/>
              </w:rPr>
              <w:t>Step</w:t>
            </w:r>
          </w:p>
        </w:tc>
        <w:tc>
          <w:tcPr>
            <w:tcW w:type="dxa" w:w="1701"/>
            <w:shd w:val="clear" w:color="auto" w:fill="1F3864"/>
          </w:tcPr>
          <w:p>
            <w:r/>
            <w:r>
              <w:rPr>
                <w:rFonts w:ascii="Calibri" w:hAnsi="Calibri" w:cs="Calibri" w:eastAsia="Calibri"/>
                <w:b/>
                <w:i w:val="0"/>
                <w:color w:val="FFFFFF"/>
                <w:sz w:val="18"/>
                <w:szCs w:val="18"/>
                <w:bCs/>
              </w:rPr>
              <w:t>Actor</w:t>
            </w:r>
          </w:p>
        </w:tc>
        <w:tc>
          <w:tcPr>
            <w:tcW w:type="dxa" w:w="1417"/>
            <w:shd w:val="clear" w:color="auto" w:fill="1F3864"/>
          </w:tcPr>
          <w:p>
            <w:r/>
            <w:r>
              <w:rPr>
                <w:rFonts w:ascii="Calibri" w:hAnsi="Calibri" w:cs="Calibri" w:eastAsia="Calibri"/>
                <w:b/>
                <w:i w:val="0"/>
                <w:color w:val="FFFFFF"/>
                <w:sz w:val="18"/>
                <w:szCs w:val="18"/>
                <w:bCs/>
              </w:rPr>
              <w:t>Timing</w:t>
            </w:r>
          </w:p>
        </w:tc>
      </w:tr>
      <w:tr>
        <w:tc>
          <w:tcPr>
            <w:tcW w:type="dxa" w:w="1417"/>
          </w:tcPr>
          <w:p>
            <w:r/>
            <w:r>
              <w:rPr>
                <w:rFonts w:ascii="Calibri" w:hAnsi="Calibri" w:cs="Calibri" w:eastAsia="Calibri"/>
                <w:b w:val="0"/>
                <w:i w:val="0"/>
                <w:sz w:val="18"/>
                <w:szCs w:val="18"/>
              </w:rPr>
              <w:t>Joiner</w:t>
            </w:r>
          </w:p>
        </w:tc>
        <w:tc>
          <w:tcPr>
            <w:tcW w:type="dxa" w:w="4819"/>
          </w:tcPr>
          <w:p>
            <w:r/>
            <w:r>
              <w:rPr>
                <w:rFonts w:ascii="Calibri" w:hAnsi="Calibri" w:cs="Calibri" w:eastAsia="Calibri"/>
                <w:b w:val="0"/>
                <w:i w:val="0"/>
                <w:sz w:val="18"/>
                <w:szCs w:val="18"/>
              </w:rPr>
              <w:t>HR creates the record; manager submits User Access Request (PR-FRM-001) based on role profile</w:t>
            </w:r>
          </w:p>
        </w:tc>
        <w:tc>
          <w:tcPr>
            <w:tcW w:type="dxa" w:w="1701"/>
          </w:tcPr>
          <w:p>
            <w:r/>
            <w:r>
              <w:rPr>
                <w:rFonts w:ascii="Calibri" w:hAnsi="Calibri" w:cs="Calibri" w:eastAsia="Calibri"/>
                <w:b w:val="0"/>
                <w:i w:val="0"/>
                <w:sz w:val="18"/>
                <w:szCs w:val="18"/>
              </w:rPr>
              <w:t>HR, line manager</w:t>
            </w:r>
          </w:p>
        </w:tc>
        <w:tc>
          <w:tcPr>
            <w:tcW w:type="dxa" w:w="1417"/>
          </w:tcPr>
          <w:p>
            <w:r/>
            <w:r>
              <w:rPr>
                <w:rFonts w:ascii="Calibri" w:hAnsi="Calibri" w:cs="Calibri" w:eastAsia="Calibri"/>
                <w:b w:val="0"/>
                <w:i w:val="0"/>
                <w:sz w:val="18"/>
                <w:szCs w:val="18"/>
              </w:rPr>
              <w:t>Before start date</w:t>
            </w:r>
          </w:p>
        </w:tc>
      </w:tr>
      <w:tr>
        <w:tc>
          <w:tcPr>
            <w:tcW w:type="dxa" w:w="1417"/>
          </w:tcPr>
          <w:p>
            <w:r/>
            <w:r>
              <w:rPr>
                <w:rFonts w:ascii="Calibri" w:hAnsi="Calibri" w:cs="Calibri" w:eastAsia="Calibri"/>
                <w:b w:val="0"/>
                <w:i w:val="0"/>
                <w:sz w:val="18"/>
                <w:szCs w:val="18"/>
              </w:rPr>
              <w:t>Joiner</w:t>
            </w:r>
          </w:p>
        </w:tc>
        <w:tc>
          <w:tcPr>
            <w:tcW w:type="dxa" w:w="4819"/>
          </w:tcPr>
          <w:p>
            <w:r/>
            <w:r>
              <w:rPr>
                <w:rFonts w:ascii="Calibri" w:hAnsi="Calibri" w:cs="Calibri" w:eastAsia="Calibri"/>
                <w:b w:val="0"/>
                <w:i w:val="0"/>
                <w:sz w:val="18"/>
                <w:szCs w:val="18"/>
              </w:rPr>
              <w:t>System owner approves; IT provisions and records the ticket</w:t>
            </w:r>
          </w:p>
        </w:tc>
        <w:tc>
          <w:tcPr>
            <w:tcW w:type="dxa" w:w="1701"/>
          </w:tcPr>
          <w:p>
            <w:r/>
            <w:r>
              <w:rPr>
                <w:rFonts w:ascii="Calibri" w:hAnsi="Calibri" w:cs="Calibri" w:eastAsia="Calibri"/>
                <w:b w:val="0"/>
                <w:i w:val="0"/>
                <w:sz w:val="18"/>
                <w:szCs w:val="18"/>
              </w:rPr>
              <w:t>System owner, IT</w:t>
            </w:r>
          </w:p>
        </w:tc>
        <w:tc>
          <w:tcPr>
            <w:tcW w:type="dxa" w:w="1417"/>
          </w:tcPr>
          <w:p>
            <w:r/>
            <w:r>
              <w:rPr>
                <w:rFonts w:ascii="Calibri" w:hAnsi="Calibri" w:cs="Calibri" w:eastAsia="Calibri"/>
                <w:b w:val="0"/>
                <w:i w:val="0"/>
                <w:sz w:val="18"/>
                <w:szCs w:val="18"/>
              </w:rPr>
              <w:t>Within 2 working days</w:t>
            </w:r>
          </w:p>
        </w:tc>
      </w:tr>
      <w:tr>
        <w:tc>
          <w:tcPr>
            <w:tcW w:type="dxa" w:w="1417"/>
          </w:tcPr>
          <w:p>
            <w:r/>
            <w:r>
              <w:rPr>
                <w:rFonts w:ascii="Calibri" w:hAnsi="Calibri" w:cs="Calibri" w:eastAsia="Calibri"/>
                <w:b w:val="0"/>
                <w:i w:val="0"/>
                <w:sz w:val="18"/>
                <w:szCs w:val="18"/>
              </w:rPr>
              <w:t>Mover</w:t>
            </w:r>
          </w:p>
        </w:tc>
        <w:tc>
          <w:tcPr>
            <w:tcW w:type="dxa" w:w="4819"/>
          </w:tcPr>
          <w:p>
            <w:r/>
            <w:r>
              <w:rPr>
                <w:rFonts w:ascii="Calibri" w:hAnsi="Calibri" w:cs="Calibri" w:eastAsia="Calibri"/>
                <w:b w:val="0"/>
                <w:i w:val="0"/>
                <w:sz w:val="18"/>
                <w:szCs w:val="18"/>
              </w:rPr>
              <w:t>HR records transfer; manager requests new access; old access removed</w:t>
            </w:r>
          </w:p>
        </w:tc>
        <w:tc>
          <w:tcPr>
            <w:tcW w:type="dxa" w:w="1701"/>
          </w:tcPr>
          <w:p>
            <w:r/>
            <w:r>
              <w:rPr>
                <w:rFonts w:ascii="Calibri" w:hAnsi="Calibri" w:cs="Calibri" w:eastAsia="Calibri"/>
                <w:b w:val="0"/>
                <w:i w:val="0"/>
                <w:sz w:val="18"/>
                <w:szCs w:val="18"/>
              </w:rPr>
              <w:t>HR, manager, IT</w:t>
            </w:r>
          </w:p>
        </w:tc>
        <w:tc>
          <w:tcPr>
            <w:tcW w:type="dxa" w:w="1417"/>
          </w:tcPr>
          <w:p>
            <w:r/>
            <w:r>
              <w:rPr>
                <w:rFonts w:ascii="Calibri" w:hAnsi="Calibri" w:cs="Calibri" w:eastAsia="Calibri"/>
                <w:b w:val="0"/>
                <w:i w:val="0"/>
                <w:sz w:val="18"/>
                <w:szCs w:val="18"/>
              </w:rPr>
              <w:t>Old access removed within 5 working days</w:t>
            </w:r>
          </w:p>
        </w:tc>
      </w:tr>
      <w:tr>
        <w:tc>
          <w:tcPr>
            <w:tcW w:type="dxa" w:w="1417"/>
          </w:tcPr>
          <w:p>
            <w:r/>
            <w:r>
              <w:rPr>
                <w:rFonts w:ascii="Calibri" w:hAnsi="Calibri" w:cs="Calibri" w:eastAsia="Calibri"/>
                <w:b w:val="0"/>
                <w:i w:val="0"/>
                <w:sz w:val="18"/>
                <w:szCs w:val="18"/>
              </w:rPr>
              <w:t>Leaver</w:t>
            </w:r>
          </w:p>
        </w:tc>
        <w:tc>
          <w:tcPr>
            <w:tcW w:type="dxa" w:w="4819"/>
          </w:tcPr>
          <w:p>
            <w:r/>
            <w:r>
              <w:rPr>
                <w:rFonts w:ascii="Calibri" w:hAnsi="Calibri" w:cs="Calibri" w:eastAsia="Calibri"/>
                <w:b w:val="0"/>
                <w:i w:val="0"/>
                <w:sz w:val="18"/>
                <w:szCs w:val="18"/>
              </w:rPr>
              <w:t>HR notifies; IT disables accounts and completes GV-FRM-003</w:t>
            </w:r>
          </w:p>
        </w:tc>
        <w:tc>
          <w:tcPr>
            <w:tcW w:type="dxa" w:w="1701"/>
          </w:tcPr>
          <w:p>
            <w:r/>
            <w:r>
              <w:rPr>
                <w:rFonts w:ascii="Calibri" w:hAnsi="Calibri" w:cs="Calibri" w:eastAsia="Calibri"/>
                <w:b w:val="0"/>
                <w:i w:val="0"/>
                <w:sz w:val="18"/>
                <w:szCs w:val="18"/>
              </w:rPr>
              <w:t>HR, IT</w:t>
            </w:r>
          </w:p>
        </w:tc>
        <w:tc>
          <w:tcPr>
            <w:tcW w:type="dxa" w:w="1417"/>
          </w:tcPr>
          <w:p>
            <w:r/>
            <w:r>
              <w:rPr>
                <w:rFonts w:ascii="Calibri" w:hAnsi="Calibri" w:cs="Calibri" w:eastAsia="Calibri"/>
                <w:b w:val="0"/>
                <w:i w:val="0"/>
                <w:sz w:val="18"/>
                <w:szCs w:val="18"/>
              </w:rPr>
              <w:t>On last working day</w:t>
            </w:r>
          </w:p>
        </w:tc>
      </w:tr>
      <w:tr>
        <w:tc>
          <w:tcPr>
            <w:tcW w:type="dxa" w:w="1417"/>
          </w:tcPr>
          <w:p>
            <w:r/>
            <w:r>
              <w:rPr>
                <w:rFonts w:ascii="Calibri" w:hAnsi="Calibri" w:cs="Calibri" w:eastAsia="Calibri"/>
                <w:b w:val="0"/>
                <w:i w:val="0"/>
                <w:sz w:val="18"/>
                <w:szCs w:val="18"/>
              </w:rPr>
              <w:t>Temporary access</w:t>
            </w:r>
          </w:p>
        </w:tc>
        <w:tc>
          <w:tcPr>
            <w:tcW w:type="dxa" w:w="4819"/>
          </w:tcPr>
          <w:p>
            <w:r/>
            <w:r>
              <w:rPr>
                <w:rFonts w:ascii="Calibri" w:hAnsi="Calibri" w:cs="Calibri" w:eastAsia="Calibri"/>
                <w:b w:val="0"/>
                <w:i w:val="0"/>
                <w:sz w:val="18"/>
                <w:szCs w:val="18"/>
              </w:rPr>
              <w:t>Request with end date; access expires automatically</w:t>
            </w:r>
          </w:p>
        </w:tc>
        <w:tc>
          <w:tcPr>
            <w:tcW w:type="dxa" w:w="1701"/>
          </w:tcPr>
          <w:p>
            <w:r/>
            <w:r>
              <w:rPr>
                <w:rFonts w:ascii="Calibri" w:hAnsi="Calibri" w:cs="Calibri" w:eastAsia="Calibri"/>
                <w:b w:val="0"/>
                <w:i w:val="0"/>
                <w:sz w:val="18"/>
                <w:szCs w:val="18"/>
              </w:rPr>
              <w:t>Requester, IT</w:t>
            </w:r>
          </w:p>
        </w:tc>
        <w:tc>
          <w:tcPr>
            <w:tcW w:type="dxa" w:w="1417"/>
          </w:tcPr>
          <w:p>
            <w:r/>
            <w:r>
              <w:rPr>
                <w:rFonts w:ascii="Calibri" w:hAnsi="Calibri" w:cs="Calibri" w:eastAsia="Calibri"/>
                <w:b w:val="0"/>
                <w:i w:val="0"/>
                <w:sz w:val="18"/>
                <w:szCs w:val="18"/>
              </w:rPr>
              <w:t>As approved</w:t>
            </w:r>
          </w:p>
        </w:tc>
      </w:tr>
      <w:tr>
        <w:tc>
          <w:tcPr>
            <w:tcW w:type="dxa" w:w="1417"/>
          </w:tcPr>
          <w:p>
            <w:r/>
            <w:r>
              <w:rPr>
                <w:rFonts w:ascii="Calibri" w:hAnsi="Calibri" w:cs="Calibri" w:eastAsia="Calibri"/>
                <w:b w:val="0"/>
                <w:i w:val="0"/>
                <w:sz w:val="18"/>
                <w:szCs w:val="18"/>
              </w:rPr>
              <w:t>All</w:t>
            </w:r>
          </w:p>
        </w:tc>
        <w:tc>
          <w:tcPr>
            <w:tcW w:type="dxa" w:w="4819"/>
          </w:tcPr>
          <w:p>
            <w:r/>
            <w:r>
              <w:rPr>
                <w:rFonts w:ascii="Calibri" w:hAnsi="Calibri" w:cs="Calibri" w:eastAsia="Calibri"/>
                <w:b w:val="0"/>
                <w:i w:val="0"/>
                <w:sz w:val="18"/>
                <w:szCs w:val="18"/>
              </w:rPr>
              <w:t>Requests without approval are rejected; approvers cannot approve their own access</w:t>
            </w:r>
          </w:p>
        </w:tc>
        <w:tc>
          <w:tcPr>
            <w:tcW w:type="dxa" w:w="1701"/>
          </w:tcPr>
          <w:p>
            <w:r/>
            <w:r>
              <w:rPr>
                <w:rFonts w:ascii="Calibri" w:hAnsi="Calibri" w:cs="Calibri" w:eastAsia="Calibri"/>
                <w:b w:val="0"/>
                <w:i w:val="0"/>
                <w:sz w:val="18"/>
                <w:szCs w:val="18"/>
              </w:rPr>
              <w:t>IT</w:t>
            </w:r>
          </w:p>
        </w:tc>
        <w:tc>
          <w:tcPr>
            <w:tcW w:type="dxa" w:w="1417"/>
          </w:tcPr>
          <w:p>
            <w:r/>
            <w:r>
              <w:rPr>
                <w:rFonts w:ascii="Calibri" w:hAnsi="Calibri" w:cs="Calibri" w:eastAsia="Calibri"/>
                <w:b w:val="0"/>
                <w:i w:val="0"/>
                <w:sz w:val="18"/>
                <w:szCs w:val="18"/>
              </w:rPr>
              <w:t>Always</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PR-FRM-001: User Access Request Form</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Automate provisioning from the HR system using role-based profiles.</w:t>
      </w:r>
    </w:p>
    <w:p>
      <w:pPr>
        <w:pStyle w:val="ListBullet"/>
        <w:spacing w:after="40"/>
      </w:pPr>
      <w:r>
        <w:rPr>
          <w:rFonts w:ascii="Calibri" w:hAnsi="Calibri" w:cs="Calibri" w:eastAsia="Calibri"/>
          <w:b w:val="0"/>
          <w:i w:val="0"/>
          <w:sz w:val="21"/>
          <w:szCs w:val="21"/>
        </w:rPr>
        <w:t>Measure time to provision and time to deprovision as KPIs.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Movers keep old access, accumulating rights over years.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PR.AA-01: Identities and credentials for authorized users, services, and hardware are managed</w:t>
            </w:r>
          </w:p>
          <w:p>
            <w:r>
              <w:rPr>
                <w:rFonts w:ascii="Calibri" w:hAnsi="Calibri" w:cs="Calibri" w:eastAsia="Calibri"/>
                <w:b w:val="0"/>
                <w:i w:val="0"/>
                <w:sz w:val="18"/>
                <w:szCs w:val="18"/>
              </w:rPr>
              <w:t>PR.AA-05: Access permissions, entitlements, and authorizations are defined, managed, enforced, and reviewed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A.5.16, Annex A.5.18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5.16 and 5.18; PDPC Notification on Security Measures B.E. 2565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PR-POL-001: Access Control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PR-FRM-001: User Access Request Form</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PR-PRC-001  |  User Access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