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User Access Review Procedure</w:t>
      </w:r>
    </w:p>
    <w:p>
      <w:pPr>
        <w:spacing w:after="80" w:before="0"/>
      </w:pPr>
      <w:r>
        <w:rPr>
          <w:rFonts w:ascii="Calibri" w:hAnsi="Calibri" w:cs="Calibri" w:eastAsia="Calibri"/>
          <w:b w:val="0"/>
          <w:i w:val="0"/>
          <w:color w:val="595959"/>
          <w:sz w:val="18"/>
          <w:szCs w:val="18"/>
        </w:rPr>
        <w:t>PR-PRC-002  |  Procedure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PR-PRC-002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User Access Review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16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16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5.18</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13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16 April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how system owners review user and privileged access periodically to confirm it is still appropriate, and how excess access is removed (PR.AA-05).</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Review Frequency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review frequency by access type.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402"/>
        <w:gridCol w:w="2268"/>
        <w:gridCol w:w="3685"/>
      </w:tblGrid>
      <w:tr>
        <w:trPr>
          <w:tblHeader w:val="true"/>
        </w:trPr>
        <w:tc>
          <w:tcPr>
            <w:tcW w:type="dxa" w:w="3402"/>
            <w:shd w:val="clear" w:color="auto" w:fill="1F3864"/>
          </w:tcPr>
          <w:p>
            <w:r/>
            <w:r>
              <w:rPr>
                <w:rFonts w:ascii="Calibri" w:hAnsi="Calibri" w:cs="Calibri" w:eastAsia="Calibri"/>
                <w:b/>
                <w:i w:val="0"/>
                <w:color w:val="FFFFFF"/>
                <w:sz w:val="18"/>
                <w:szCs w:val="18"/>
                <w:bCs/>
              </w:rPr>
              <w:t>Access type</w:t>
            </w:r>
          </w:p>
        </w:tc>
        <w:tc>
          <w:tcPr>
            <w:tcW w:type="dxa" w:w="2268"/>
            <w:shd w:val="clear" w:color="auto" w:fill="1F3864"/>
          </w:tcPr>
          <w:p>
            <w:r/>
            <w:r>
              <w:rPr>
                <w:rFonts w:ascii="Calibri" w:hAnsi="Calibri" w:cs="Calibri" w:eastAsia="Calibri"/>
                <w:b/>
                <w:i w:val="0"/>
                <w:color w:val="FFFFFF"/>
                <w:sz w:val="18"/>
                <w:szCs w:val="18"/>
                <w:bCs/>
              </w:rPr>
              <w:t>Frequency</w:t>
            </w:r>
          </w:p>
        </w:tc>
        <w:tc>
          <w:tcPr>
            <w:tcW w:type="dxa" w:w="3685"/>
            <w:shd w:val="clear" w:color="auto" w:fill="1F3864"/>
          </w:tcPr>
          <w:p>
            <w:r/>
            <w:r>
              <w:rPr>
                <w:rFonts w:ascii="Calibri" w:hAnsi="Calibri" w:cs="Calibri" w:eastAsia="Calibri"/>
                <w:b/>
                <w:i w:val="0"/>
                <w:color w:val="FFFFFF"/>
                <w:sz w:val="18"/>
                <w:szCs w:val="18"/>
                <w:bCs/>
              </w:rPr>
              <w:t>Reviewer</w:t>
            </w:r>
          </w:p>
        </w:tc>
      </w:tr>
      <w:tr>
        <w:tc>
          <w:tcPr>
            <w:tcW w:type="dxa" w:w="3402"/>
          </w:tcPr>
          <w:p>
            <w:r/>
            <w:r>
              <w:rPr>
                <w:rFonts w:ascii="Calibri" w:hAnsi="Calibri" w:cs="Calibri" w:eastAsia="Calibri"/>
                <w:b w:val="0"/>
                <w:i w:val="0"/>
                <w:sz w:val="18"/>
                <w:szCs w:val="18"/>
              </w:rPr>
              <w:t>Privileged accounts</w:t>
            </w:r>
          </w:p>
        </w:tc>
        <w:tc>
          <w:tcPr>
            <w:tcW w:type="dxa" w:w="2268"/>
          </w:tcPr>
          <w:p>
            <w:r/>
            <w:r>
              <w:rPr>
                <w:rFonts w:ascii="Calibri" w:hAnsi="Calibri" w:cs="Calibri" w:eastAsia="Calibri"/>
                <w:b w:val="0"/>
                <w:i w:val="0"/>
                <w:sz w:val="18"/>
                <w:szCs w:val="18"/>
              </w:rPr>
              <w:t>Quarterly</w:t>
            </w:r>
          </w:p>
        </w:tc>
        <w:tc>
          <w:tcPr>
            <w:tcW w:type="dxa" w:w="3685"/>
          </w:tcPr>
          <w:p>
            <w:r/>
            <w:r>
              <w:rPr>
                <w:rFonts w:ascii="Calibri" w:hAnsi="Calibri" w:cs="Calibri" w:eastAsia="Calibri"/>
                <w:b w:val="0"/>
                <w:i w:val="0"/>
                <w:sz w:val="18"/>
                <w:szCs w:val="18"/>
              </w:rPr>
              <w:t>Security Manager and system owner</w:t>
            </w:r>
          </w:p>
        </w:tc>
      </w:tr>
      <w:tr>
        <w:tc>
          <w:tcPr>
            <w:tcW w:type="dxa" w:w="3402"/>
          </w:tcPr>
          <w:p>
            <w:r/>
            <w:r>
              <w:rPr>
                <w:rFonts w:ascii="Calibri" w:hAnsi="Calibri" w:cs="Calibri" w:eastAsia="Calibri"/>
                <w:b w:val="0"/>
                <w:i w:val="0"/>
                <w:sz w:val="18"/>
                <w:szCs w:val="18"/>
              </w:rPr>
              <w:t>Critical systems</w:t>
            </w:r>
          </w:p>
        </w:tc>
        <w:tc>
          <w:tcPr>
            <w:tcW w:type="dxa" w:w="2268"/>
          </w:tcPr>
          <w:p>
            <w:r/>
            <w:r>
              <w:rPr>
                <w:rFonts w:ascii="Calibri" w:hAnsi="Calibri" w:cs="Calibri" w:eastAsia="Calibri"/>
                <w:b w:val="0"/>
                <w:i w:val="0"/>
                <w:sz w:val="18"/>
                <w:szCs w:val="18"/>
              </w:rPr>
              <w:t>Quarterly</w:t>
            </w:r>
          </w:p>
        </w:tc>
        <w:tc>
          <w:tcPr>
            <w:tcW w:type="dxa" w:w="3685"/>
          </w:tcPr>
          <w:p>
            <w:r/>
            <w:r>
              <w:rPr>
                <w:rFonts w:ascii="Calibri" w:hAnsi="Calibri" w:cs="Calibri" w:eastAsia="Calibri"/>
                <w:b w:val="0"/>
                <w:i w:val="0"/>
                <w:sz w:val="18"/>
                <w:szCs w:val="18"/>
              </w:rPr>
              <w:t>System owner</w:t>
            </w:r>
          </w:p>
        </w:tc>
      </w:tr>
      <w:tr>
        <w:tc>
          <w:tcPr>
            <w:tcW w:type="dxa" w:w="3402"/>
          </w:tcPr>
          <w:p>
            <w:r/>
            <w:r>
              <w:rPr>
                <w:rFonts w:ascii="Calibri" w:hAnsi="Calibri" w:cs="Calibri" w:eastAsia="Calibri"/>
                <w:b w:val="0"/>
                <w:i w:val="0"/>
                <w:sz w:val="18"/>
                <w:szCs w:val="18"/>
              </w:rPr>
              <w:t>Other systems</w:t>
            </w:r>
          </w:p>
        </w:tc>
        <w:tc>
          <w:tcPr>
            <w:tcW w:type="dxa" w:w="2268"/>
          </w:tcPr>
          <w:p>
            <w:r/>
            <w:r>
              <w:rPr>
                <w:rFonts w:ascii="Calibri" w:hAnsi="Calibri" w:cs="Calibri" w:eastAsia="Calibri"/>
                <w:b w:val="0"/>
                <w:i w:val="0"/>
                <w:sz w:val="18"/>
                <w:szCs w:val="18"/>
              </w:rPr>
              <w:t>Semi-annually</w:t>
            </w:r>
          </w:p>
        </w:tc>
        <w:tc>
          <w:tcPr>
            <w:tcW w:type="dxa" w:w="3685"/>
          </w:tcPr>
          <w:p>
            <w:r/>
            <w:r>
              <w:rPr>
                <w:rFonts w:ascii="Calibri" w:hAnsi="Calibri" w:cs="Calibri" w:eastAsia="Calibri"/>
                <w:b w:val="0"/>
                <w:i w:val="0"/>
                <w:sz w:val="18"/>
                <w:szCs w:val="18"/>
              </w:rPr>
              <w:t>System owner</w:t>
            </w:r>
          </w:p>
        </w:tc>
      </w:tr>
      <w:tr>
        <w:tc>
          <w:tcPr>
            <w:tcW w:type="dxa" w:w="3402"/>
          </w:tcPr>
          <w:p>
            <w:r/>
            <w:r>
              <w:rPr>
                <w:rFonts w:ascii="Calibri" w:hAnsi="Calibri" w:cs="Calibri" w:eastAsia="Calibri"/>
                <w:b w:val="0"/>
                <w:i w:val="0"/>
                <w:sz w:val="18"/>
                <w:szCs w:val="18"/>
              </w:rPr>
              <w:t>Third-party accounts</w:t>
            </w:r>
          </w:p>
        </w:tc>
        <w:tc>
          <w:tcPr>
            <w:tcW w:type="dxa" w:w="2268"/>
          </w:tcPr>
          <w:p>
            <w:r/>
            <w:r>
              <w:rPr>
                <w:rFonts w:ascii="Calibri" w:hAnsi="Calibri" w:cs="Calibri" w:eastAsia="Calibri"/>
                <w:b w:val="0"/>
                <w:i w:val="0"/>
                <w:sz w:val="18"/>
                <w:szCs w:val="18"/>
              </w:rPr>
              <w:t>Quarterly</w:t>
            </w:r>
          </w:p>
        </w:tc>
        <w:tc>
          <w:tcPr>
            <w:tcW w:type="dxa" w:w="3685"/>
          </w:tcPr>
          <w:p>
            <w:r/>
            <w:r>
              <w:rPr>
                <w:rFonts w:ascii="Calibri" w:hAnsi="Calibri" w:cs="Calibri" w:eastAsia="Calibri"/>
                <w:b w:val="0"/>
                <w:i w:val="0"/>
                <w:sz w:val="18"/>
                <w:szCs w:val="18"/>
              </w:rPr>
              <w:t>Business owner of the supplier</w:t>
            </w:r>
          </w:p>
        </w:tc>
      </w:tr>
    </w:tbl>
    <w:p>
      <w:pPr>
        <w:spacing w:after="40"/>
      </w:pPr>
    </w:p>
    <w:p>
      <w:pPr>
        <w:pStyle w:val="Heading2"/>
        <w:keepNext/>
        <w:spacing w:before="120" w:after="80"/>
      </w:pPr>
      <w:r>
        <w:rPr>
          <w:rFonts w:ascii="Calibri" w:hAnsi="Calibri" w:cs="Calibri" w:eastAsia="Calibri"/>
          <w:b/>
          <w:i w:val="0"/>
          <w:color w:val="1F3864"/>
          <w:sz w:val="24"/>
          <w:szCs w:val="24"/>
          <w:bCs/>
        </w:rPr>
        <w:t>4.4 Process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review cycle.</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IT extracts the current access list from the system, with roles and last login.</w:t>
      </w:r>
    </w:p>
    <w:p>
      <w:pPr>
        <w:pStyle w:val="ListNumber"/>
        <w:spacing w:after="40"/>
      </w:pPr>
      <w:r>
        <w:rPr>
          <w:rFonts w:ascii="Calibri" w:hAnsi="Calibri" w:cs="Calibri" w:eastAsia="Calibri"/>
          <w:b w:val="0"/>
          <w:i w:val="0"/>
          <w:sz w:val="21"/>
          <w:szCs w:val="21"/>
        </w:rPr>
        <w:t>The reviewer confirms, changes, or removes each entry within 10 working days.</w:t>
      </w:r>
    </w:p>
    <w:p>
      <w:pPr>
        <w:pStyle w:val="ListNumber"/>
        <w:spacing w:after="40"/>
      </w:pPr>
      <w:r>
        <w:rPr>
          <w:rFonts w:ascii="Calibri" w:hAnsi="Calibri" w:cs="Calibri" w:eastAsia="Calibri"/>
          <w:b w:val="0"/>
          <w:i w:val="0"/>
          <w:sz w:val="21"/>
          <w:szCs w:val="21"/>
        </w:rPr>
        <w:t>IT removes rejected access within 5 working days.</w:t>
      </w:r>
    </w:p>
    <w:p>
      <w:pPr>
        <w:pStyle w:val="ListNumber"/>
        <w:spacing w:after="40"/>
      </w:pPr>
      <w:r>
        <w:rPr>
          <w:rFonts w:ascii="Calibri" w:hAnsi="Calibri" w:cs="Calibri" w:eastAsia="Calibri"/>
          <w:b w:val="0"/>
          <w:i w:val="0"/>
          <w:sz w:val="21"/>
          <w:szCs w:val="21"/>
        </w:rPr>
        <w:t>IT reruns the extract to verify removals.</w:t>
      </w:r>
    </w:p>
    <w:p>
      <w:pPr>
        <w:pStyle w:val="ListNumber"/>
        <w:spacing w:after="40"/>
      </w:pPr>
      <w:r>
        <w:rPr>
          <w:rFonts w:ascii="Calibri" w:hAnsi="Calibri" w:cs="Calibri" w:eastAsia="Calibri"/>
          <w:b w:val="0"/>
          <w:i w:val="0"/>
          <w:sz w:val="21"/>
          <w:szCs w:val="21"/>
        </w:rPr>
        <w:t>The reviewer signs the User Access Review Record (PR-REC-001).</w:t>
      </w:r>
    </w:p>
    <w:p>
      <w:pPr>
        <w:pStyle w:val="ListNumber"/>
        <w:spacing w:after="40"/>
      </w:pPr>
      <w:r>
        <w:rPr>
          <w:rFonts w:ascii="Calibri" w:hAnsi="Calibri" w:cs="Calibri" w:eastAsia="Calibri"/>
          <w:b w:val="0"/>
          <w:i w:val="0"/>
          <w:sz w:val="21"/>
          <w:szCs w:val="21"/>
        </w:rPr>
        <w:t>The Security Manager reports completion and exceptions to the Information Security Steering Committee (ISSC).</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PR-REC-001: User Access Review Record</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Include last login dates so reviewers can spot dormant accounts.</w:t>
      </w:r>
    </w:p>
    <w:p>
      <w:pPr>
        <w:pStyle w:val="ListBullet"/>
        <w:spacing w:after="40"/>
      </w:pPr>
      <w:r>
        <w:rPr>
          <w:rFonts w:ascii="Calibri" w:hAnsi="Calibri" w:cs="Calibri" w:eastAsia="Calibri"/>
          <w:b w:val="0"/>
          <w:i w:val="0"/>
          <w:sz w:val="21"/>
          <w:szCs w:val="21"/>
        </w:rPr>
        <w:t>Disable accounts with no login for 90 days automatically.</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Reviewers approve the whole list without checking (rubber stamping).</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PR.AA-05: Access permissions, entitlements, and authorizations are defined, managed, enforced, and reviewed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A.5.18</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AC-2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5.18</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PR-POL-001: Access Control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PR-REC-001: User Access Review Record</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PR-PRC-002  |  User Access Review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