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Identity and Authentication Standard</w:t>
      </w:r>
    </w:p>
    <w:p>
      <w:pPr>
        <w:spacing w:after="80" w:before="0"/>
      </w:pPr>
      <w:r>
        <w:rPr>
          <w:rFonts w:ascii="Calibri" w:hAnsi="Calibri" w:cs="Calibri" w:eastAsia="Calibri"/>
          <w:b w:val="0"/>
          <w:i w:val="0"/>
          <w:color w:val="595959"/>
          <w:sz w:val="18"/>
          <w:szCs w:val="18"/>
        </w:rPr>
        <w:t>PR-STD-001  |  Standard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Identity and Authentication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26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26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5.16, 5.17, and 8.5; NIST SP 800-63B-4</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12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26 June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requirements for identity proofing, account management, passwords, multi-factor authentication, and federation (PR.AA-01 to PR.AA-04).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measurable identity and authentication requirements, referencing NIST SP 800-63B-4.</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850"/>
        <w:gridCol w:w="3402"/>
        <w:gridCol w:w="5103"/>
      </w:tblGrid>
      <w:tr>
        <w:trPr>
          <w:tblHeader w:val="true"/>
        </w:trPr>
        <w:tc>
          <w:tcPr>
            <w:tcW w:type="dxa" w:w="850"/>
            <w:shd w:val="clear" w:color="auto" w:fill="1F3864"/>
          </w:tcPr>
          <w:p>
            <w:r/>
            <w:r>
              <w:rPr>
                <w:rFonts w:ascii="Calibri" w:hAnsi="Calibri" w:cs="Calibri" w:eastAsia="Calibri"/>
                <w:b/>
                <w:i w:val="0"/>
                <w:color w:val="FFFFFF"/>
                <w:sz w:val="18"/>
                <w:szCs w:val="18"/>
                <w:bCs/>
              </w:rPr>
              <w:t>ID</w:t>
            </w:r>
          </w:p>
        </w:tc>
        <w:tc>
          <w:tcPr>
            <w:tcW w:type="dxa" w:w="3402"/>
            <w:shd w:val="clear" w:color="auto" w:fill="1F3864"/>
          </w:tcPr>
          <w:p>
            <w:r/>
            <w:r>
              <w:rPr>
                <w:rFonts w:ascii="Calibri" w:hAnsi="Calibri" w:cs="Calibri" w:eastAsia="Calibri"/>
                <w:b/>
                <w:i w:val="0"/>
                <w:color w:val="FFFFFF"/>
                <w:sz w:val="18"/>
                <w:szCs w:val="18"/>
                <w:bCs/>
              </w:rPr>
              <w:t>Requirement</w:t>
            </w:r>
          </w:p>
        </w:tc>
        <w:tc>
          <w:tcPr>
            <w:tcW w:type="dxa" w:w="5102"/>
            <w:shd w:val="clear" w:color="auto" w:fill="1F3864"/>
          </w:tcPr>
          <w:p>
            <w:r/>
            <w:r>
              <w:rPr>
                <w:rFonts w:ascii="Calibri" w:hAnsi="Calibri" w:cs="Calibri" w:eastAsia="Calibri"/>
                <w:b/>
                <w:i w:val="0"/>
                <w:color w:val="FFFFFF"/>
                <w:sz w:val="18"/>
                <w:szCs w:val="18"/>
                <w:bCs/>
              </w:rPr>
              <w:t>CMC value</w:t>
            </w:r>
          </w:p>
        </w:tc>
      </w:tr>
      <w:tr>
        <w:tc>
          <w:tcPr>
            <w:tcW w:type="dxa" w:w="850"/>
          </w:tcPr>
          <w:p>
            <w:r/>
            <w:r>
              <w:rPr>
                <w:rFonts w:ascii="Calibri" w:hAnsi="Calibri" w:cs="Calibri" w:eastAsia="Calibri"/>
                <w:b w:val="0"/>
                <w:i w:val="0"/>
                <w:sz w:val="18"/>
                <w:szCs w:val="18"/>
              </w:rPr>
              <w:t>IA-01</w:t>
            </w:r>
          </w:p>
        </w:tc>
        <w:tc>
          <w:tcPr>
            <w:tcW w:type="dxa" w:w="3402"/>
          </w:tcPr>
          <w:p>
            <w:r/>
            <w:r>
              <w:rPr>
                <w:rFonts w:ascii="Calibri" w:hAnsi="Calibri" w:cs="Calibri" w:eastAsia="Calibri"/>
                <w:b w:val="0"/>
                <w:i w:val="0"/>
                <w:sz w:val="18"/>
                <w:szCs w:val="18"/>
              </w:rPr>
              <w:t>Identity proofing</w:t>
            </w:r>
          </w:p>
        </w:tc>
        <w:tc>
          <w:tcPr>
            <w:tcW w:type="dxa" w:w="5102"/>
          </w:tcPr>
          <w:p>
            <w:r/>
            <w:r>
              <w:rPr>
                <w:rFonts w:ascii="Calibri" w:hAnsi="Calibri" w:cs="Calibri" w:eastAsia="Calibri"/>
                <w:b w:val="0"/>
                <w:i w:val="0"/>
                <w:sz w:val="18"/>
                <w:szCs w:val="18"/>
              </w:rPr>
              <w:t>HR record for staff; professional license check for physicians; national ID for patient portal users with OTP to registered phone</w:t>
            </w:r>
          </w:p>
        </w:tc>
      </w:tr>
      <w:tr>
        <w:tc>
          <w:tcPr>
            <w:tcW w:type="dxa" w:w="850"/>
          </w:tcPr>
          <w:p>
            <w:r/>
            <w:r>
              <w:rPr>
                <w:rFonts w:ascii="Calibri" w:hAnsi="Calibri" w:cs="Calibri" w:eastAsia="Calibri"/>
                <w:b w:val="0"/>
                <w:i w:val="0"/>
                <w:sz w:val="18"/>
                <w:szCs w:val="18"/>
              </w:rPr>
              <w:t>IA-02</w:t>
            </w:r>
          </w:p>
        </w:tc>
        <w:tc>
          <w:tcPr>
            <w:tcW w:type="dxa" w:w="3402"/>
          </w:tcPr>
          <w:p>
            <w:r/>
            <w:r>
              <w:rPr>
                <w:rFonts w:ascii="Calibri" w:hAnsi="Calibri" w:cs="Calibri" w:eastAsia="Calibri"/>
                <w:b w:val="0"/>
                <w:i w:val="0"/>
                <w:sz w:val="18"/>
                <w:szCs w:val="18"/>
              </w:rPr>
              <w:t>Password minimum length (single-factor)</w:t>
            </w:r>
          </w:p>
        </w:tc>
        <w:tc>
          <w:tcPr>
            <w:tcW w:type="dxa" w:w="5102"/>
          </w:tcPr>
          <w:p>
            <w:r/>
            <w:r>
              <w:rPr>
                <w:rFonts w:ascii="Calibri" w:hAnsi="Calibri" w:cs="Calibri" w:eastAsia="Calibri"/>
                <w:b w:val="0"/>
                <w:i w:val="0"/>
                <w:sz w:val="18"/>
                <w:szCs w:val="18"/>
              </w:rPr>
              <w:t>15 characters</w:t>
            </w:r>
          </w:p>
        </w:tc>
      </w:tr>
      <w:tr>
        <w:tc>
          <w:tcPr>
            <w:tcW w:type="dxa" w:w="850"/>
          </w:tcPr>
          <w:p>
            <w:r/>
            <w:r>
              <w:rPr>
                <w:rFonts w:ascii="Calibri" w:hAnsi="Calibri" w:cs="Calibri" w:eastAsia="Calibri"/>
                <w:b w:val="0"/>
                <w:i w:val="0"/>
                <w:sz w:val="18"/>
                <w:szCs w:val="18"/>
              </w:rPr>
              <w:t>IA-03</w:t>
            </w:r>
          </w:p>
        </w:tc>
        <w:tc>
          <w:tcPr>
            <w:tcW w:type="dxa" w:w="3402"/>
          </w:tcPr>
          <w:p>
            <w:r/>
            <w:r>
              <w:rPr>
                <w:rFonts w:ascii="Calibri" w:hAnsi="Calibri" w:cs="Calibri" w:eastAsia="Calibri"/>
                <w:b w:val="0"/>
                <w:i w:val="0"/>
                <w:sz w:val="18"/>
                <w:szCs w:val="18"/>
              </w:rPr>
              <w:t>Password minimum length (with MFA)</w:t>
            </w:r>
          </w:p>
        </w:tc>
        <w:tc>
          <w:tcPr>
            <w:tcW w:type="dxa" w:w="5102"/>
          </w:tcPr>
          <w:p>
            <w:r/>
            <w:r>
              <w:rPr>
                <w:rFonts w:ascii="Calibri" w:hAnsi="Calibri" w:cs="Calibri" w:eastAsia="Calibri"/>
                <w:b w:val="0"/>
                <w:i w:val="0"/>
                <w:sz w:val="18"/>
                <w:szCs w:val="18"/>
              </w:rPr>
              <w:t>12 characters</w:t>
            </w:r>
          </w:p>
        </w:tc>
      </w:tr>
      <w:tr>
        <w:tc>
          <w:tcPr>
            <w:tcW w:type="dxa" w:w="850"/>
          </w:tcPr>
          <w:p>
            <w:r/>
            <w:r>
              <w:rPr>
                <w:rFonts w:ascii="Calibri" w:hAnsi="Calibri" w:cs="Calibri" w:eastAsia="Calibri"/>
                <w:b w:val="0"/>
                <w:i w:val="0"/>
                <w:sz w:val="18"/>
                <w:szCs w:val="18"/>
              </w:rPr>
              <w:t>IA-04</w:t>
            </w:r>
          </w:p>
        </w:tc>
        <w:tc>
          <w:tcPr>
            <w:tcW w:type="dxa" w:w="3402"/>
          </w:tcPr>
          <w:p>
            <w:r/>
            <w:r>
              <w:rPr>
                <w:rFonts w:ascii="Calibri" w:hAnsi="Calibri" w:cs="Calibri" w:eastAsia="Calibri"/>
                <w:b w:val="0"/>
                <w:i w:val="0"/>
                <w:sz w:val="18"/>
                <w:szCs w:val="18"/>
              </w:rPr>
              <w:t>Forced periodic change</w:t>
            </w:r>
          </w:p>
        </w:tc>
        <w:tc>
          <w:tcPr>
            <w:tcW w:type="dxa" w:w="5102"/>
          </w:tcPr>
          <w:p>
            <w:r/>
            <w:r>
              <w:rPr>
                <w:rFonts w:ascii="Calibri" w:hAnsi="Calibri" w:cs="Calibri" w:eastAsia="Calibri"/>
                <w:b w:val="0"/>
                <w:i w:val="0"/>
                <w:sz w:val="18"/>
                <w:szCs w:val="18"/>
              </w:rPr>
              <w:t>Removed in 2025; change on compromise only</w:t>
            </w:r>
          </w:p>
        </w:tc>
      </w:tr>
      <w:tr>
        <w:tc>
          <w:tcPr>
            <w:tcW w:type="dxa" w:w="850"/>
          </w:tcPr>
          <w:p>
            <w:r/>
            <w:r>
              <w:rPr>
                <w:rFonts w:ascii="Calibri" w:hAnsi="Calibri" w:cs="Calibri" w:eastAsia="Calibri"/>
                <w:b w:val="0"/>
                <w:i w:val="0"/>
                <w:sz w:val="18"/>
                <w:szCs w:val="18"/>
              </w:rPr>
              <w:t>IA-05</w:t>
            </w:r>
          </w:p>
        </w:tc>
        <w:tc>
          <w:tcPr>
            <w:tcW w:type="dxa" w:w="3402"/>
          </w:tcPr>
          <w:p>
            <w:r/>
            <w:r>
              <w:rPr>
                <w:rFonts w:ascii="Calibri" w:hAnsi="Calibri" w:cs="Calibri" w:eastAsia="Calibri"/>
                <w:b w:val="0"/>
                <w:i w:val="0"/>
                <w:sz w:val="18"/>
                <w:szCs w:val="18"/>
              </w:rPr>
              <w:t>Banned password list</w:t>
            </w:r>
          </w:p>
        </w:tc>
        <w:tc>
          <w:tcPr>
            <w:tcW w:type="dxa" w:w="5102"/>
          </w:tcPr>
          <w:p>
            <w:r/>
            <w:r>
              <w:rPr>
                <w:rFonts w:ascii="Calibri" w:hAnsi="Calibri" w:cs="Calibri" w:eastAsia="Calibri"/>
                <w:b w:val="0"/>
                <w:i w:val="0"/>
                <w:sz w:val="18"/>
                <w:szCs w:val="18"/>
              </w:rPr>
              <w:t>Enabled in the directory</w:t>
            </w:r>
          </w:p>
        </w:tc>
      </w:tr>
      <w:tr>
        <w:tc>
          <w:tcPr>
            <w:tcW w:type="dxa" w:w="850"/>
          </w:tcPr>
          <w:p>
            <w:r/>
            <w:r>
              <w:rPr>
                <w:rFonts w:ascii="Calibri" w:hAnsi="Calibri" w:cs="Calibri" w:eastAsia="Calibri"/>
                <w:b w:val="0"/>
                <w:i w:val="0"/>
                <w:sz w:val="18"/>
                <w:szCs w:val="18"/>
              </w:rPr>
              <w:t>IA-06</w:t>
            </w:r>
          </w:p>
        </w:tc>
        <w:tc>
          <w:tcPr>
            <w:tcW w:type="dxa" w:w="3402"/>
          </w:tcPr>
          <w:p>
            <w:r/>
            <w:r>
              <w:rPr>
                <w:rFonts w:ascii="Calibri" w:hAnsi="Calibri" w:cs="Calibri" w:eastAsia="Calibri"/>
                <w:b w:val="0"/>
                <w:i w:val="0"/>
                <w:sz w:val="18"/>
                <w:szCs w:val="18"/>
              </w:rPr>
              <w:t>Lockout</w:t>
            </w:r>
          </w:p>
        </w:tc>
        <w:tc>
          <w:tcPr>
            <w:tcW w:type="dxa" w:w="5102"/>
          </w:tcPr>
          <w:p>
            <w:r/>
            <w:r>
              <w:rPr>
                <w:rFonts w:ascii="Calibri" w:hAnsi="Calibri" w:cs="Calibri" w:eastAsia="Calibri"/>
                <w:b w:val="0"/>
                <w:i w:val="0"/>
                <w:sz w:val="18"/>
                <w:szCs w:val="18"/>
              </w:rPr>
              <w:t>10 failed attempts, 15-minute lock</w:t>
            </w:r>
          </w:p>
        </w:tc>
      </w:tr>
      <w:tr>
        <w:tc>
          <w:tcPr>
            <w:tcW w:type="dxa" w:w="850"/>
          </w:tcPr>
          <w:p>
            <w:r/>
            <w:r>
              <w:rPr>
                <w:rFonts w:ascii="Calibri" w:hAnsi="Calibri" w:cs="Calibri" w:eastAsia="Calibri"/>
                <w:b w:val="0"/>
                <w:i w:val="0"/>
                <w:sz w:val="18"/>
                <w:szCs w:val="18"/>
              </w:rPr>
              <w:t>IA-07</w:t>
            </w:r>
          </w:p>
        </w:tc>
        <w:tc>
          <w:tcPr>
            <w:tcW w:type="dxa" w:w="3402"/>
          </w:tcPr>
          <w:p>
            <w:r/>
            <w:r>
              <w:rPr>
                <w:rFonts w:ascii="Calibri" w:hAnsi="Calibri" w:cs="Calibri" w:eastAsia="Calibri"/>
                <w:b w:val="0"/>
                <w:i w:val="0"/>
                <w:sz w:val="18"/>
                <w:szCs w:val="18"/>
              </w:rPr>
              <w:t>MFA</w:t>
            </w:r>
          </w:p>
        </w:tc>
        <w:tc>
          <w:tcPr>
            <w:tcW w:type="dxa" w:w="5102"/>
          </w:tcPr>
          <w:p>
            <w:r/>
            <w:r>
              <w:rPr>
                <w:rFonts w:ascii="Calibri" w:hAnsi="Calibri" w:cs="Calibri" w:eastAsia="Calibri"/>
                <w:b w:val="0"/>
                <w:i w:val="0"/>
                <w:sz w:val="18"/>
                <w:szCs w:val="18"/>
              </w:rPr>
              <w:t>Microsoft Authenticator for staff; FIDO2 keys for domain admins; badge tap plus PIN for shared clinical workstations</w:t>
            </w:r>
          </w:p>
        </w:tc>
      </w:tr>
      <w:tr>
        <w:tc>
          <w:tcPr>
            <w:tcW w:type="dxa" w:w="850"/>
          </w:tcPr>
          <w:p>
            <w:r/>
            <w:r>
              <w:rPr>
                <w:rFonts w:ascii="Calibri" w:hAnsi="Calibri" w:cs="Calibri" w:eastAsia="Calibri"/>
                <w:b w:val="0"/>
                <w:i w:val="0"/>
                <w:sz w:val="18"/>
                <w:szCs w:val="18"/>
              </w:rPr>
              <w:t>IA-08</w:t>
            </w:r>
          </w:p>
        </w:tc>
        <w:tc>
          <w:tcPr>
            <w:tcW w:type="dxa" w:w="3402"/>
          </w:tcPr>
          <w:p>
            <w:r/>
            <w:r>
              <w:rPr>
                <w:rFonts w:ascii="Calibri" w:hAnsi="Calibri" w:cs="Calibri" w:eastAsia="Calibri"/>
                <w:b w:val="0"/>
                <w:i w:val="0"/>
                <w:sz w:val="18"/>
                <w:szCs w:val="18"/>
              </w:rPr>
              <w:t>Service accounts</w:t>
            </w:r>
          </w:p>
        </w:tc>
        <w:tc>
          <w:tcPr>
            <w:tcW w:type="dxa" w:w="5102"/>
          </w:tcPr>
          <w:p>
            <w:r/>
            <w:r>
              <w:rPr>
                <w:rFonts w:ascii="Calibri" w:hAnsi="Calibri" w:cs="Calibri" w:eastAsia="Calibri"/>
                <w:b w:val="0"/>
                <w:i w:val="0"/>
                <w:sz w:val="18"/>
                <w:szCs w:val="18"/>
              </w:rPr>
              <w:t>Inventory in PR-REG-001; HIS interface accounts rotated annually</w:t>
            </w:r>
          </w:p>
        </w:tc>
      </w:tr>
      <w:tr>
        <w:tc>
          <w:tcPr>
            <w:tcW w:type="dxa" w:w="850"/>
          </w:tcPr>
          <w:p>
            <w:r/>
            <w:r>
              <w:rPr>
                <w:rFonts w:ascii="Calibri" w:hAnsi="Calibri" w:cs="Calibri" w:eastAsia="Calibri"/>
                <w:b w:val="0"/>
                <w:i w:val="0"/>
                <w:sz w:val="18"/>
                <w:szCs w:val="18"/>
              </w:rPr>
              <w:t>IA-09</w:t>
            </w:r>
          </w:p>
        </w:tc>
        <w:tc>
          <w:tcPr>
            <w:tcW w:type="dxa" w:w="3402"/>
          </w:tcPr>
          <w:p>
            <w:r/>
            <w:r>
              <w:rPr>
                <w:rFonts w:ascii="Calibri" w:hAnsi="Calibri" w:cs="Calibri" w:eastAsia="Calibri"/>
                <w:b w:val="0"/>
                <w:i w:val="0"/>
                <w:sz w:val="18"/>
                <w:szCs w:val="18"/>
              </w:rPr>
              <w:t>Default accounts</w:t>
            </w:r>
          </w:p>
        </w:tc>
        <w:tc>
          <w:tcPr>
            <w:tcW w:type="dxa" w:w="5102"/>
          </w:tcPr>
          <w:p>
            <w:r/>
            <w:r>
              <w:rPr>
                <w:rFonts w:ascii="Calibri" w:hAnsi="Calibri" w:cs="Calibri" w:eastAsia="Calibri"/>
                <w:b w:val="0"/>
                <w:i w:val="0"/>
                <w:sz w:val="18"/>
                <w:szCs w:val="18"/>
              </w:rPr>
              <w:t>Checked at device onboarding by Biomedical Engineering and IT</w:t>
            </w:r>
          </w:p>
        </w:tc>
      </w:tr>
      <w:tr>
        <w:tc>
          <w:tcPr>
            <w:tcW w:type="dxa" w:w="850"/>
          </w:tcPr>
          <w:p>
            <w:r/>
            <w:r>
              <w:rPr>
                <w:rFonts w:ascii="Calibri" w:hAnsi="Calibri" w:cs="Calibri" w:eastAsia="Calibri"/>
                <w:b w:val="0"/>
                <w:i w:val="0"/>
                <w:sz w:val="18"/>
                <w:szCs w:val="18"/>
              </w:rPr>
              <w:t>IA-10</w:t>
            </w:r>
          </w:p>
        </w:tc>
        <w:tc>
          <w:tcPr>
            <w:tcW w:type="dxa" w:w="3402"/>
          </w:tcPr>
          <w:p>
            <w:r/>
            <w:r>
              <w:rPr>
                <w:rFonts w:ascii="Calibri" w:hAnsi="Calibri" w:cs="Calibri" w:eastAsia="Calibri"/>
                <w:b w:val="0"/>
                <w:i w:val="0"/>
                <w:sz w:val="18"/>
                <w:szCs w:val="18"/>
              </w:rPr>
              <w:t>Session timeout</w:t>
            </w:r>
          </w:p>
        </w:tc>
        <w:tc>
          <w:tcPr>
            <w:tcW w:type="dxa" w:w="5102"/>
          </w:tcPr>
          <w:p>
            <w:r/>
            <w:r>
              <w:rPr>
                <w:rFonts w:ascii="Calibri" w:hAnsi="Calibri" w:cs="Calibri" w:eastAsia="Calibri"/>
                <w:b w:val="0"/>
                <w:i w:val="0"/>
                <w:sz w:val="18"/>
                <w:szCs w:val="18"/>
              </w:rPr>
              <w:t>10 minutes on clinical workstations; 15 minutes elsewhere</w:t>
            </w:r>
          </w:p>
        </w:tc>
      </w:tr>
      <w:tr>
        <w:tc>
          <w:tcPr>
            <w:tcW w:type="dxa" w:w="850"/>
          </w:tcPr>
          <w:p>
            <w:r/>
            <w:r>
              <w:rPr>
                <w:rFonts w:ascii="Calibri" w:hAnsi="Calibri" w:cs="Calibri" w:eastAsia="Calibri"/>
                <w:b w:val="0"/>
                <w:i w:val="0"/>
                <w:sz w:val="18"/>
                <w:szCs w:val="18"/>
              </w:rPr>
              <w:t>IA-11</w:t>
            </w:r>
          </w:p>
        </w:tc>
        <w:tc>
          <w:tcPr>
            <w:tcW w:type="dxa" w:w="3402"/>
          </w:tcPr>
          <w:p>
            <w:r/>
            <w:r>
              <w:rPr>
                <w:rFonts w:ascii="Calibri" w:hAnsi="Calibri" w:cs="Calibri" w:eastAsia="Calibri"/>
                <w:b w:val="0"/>
                <w:i w:val="0"/>
                <w:sz w:val="18"/>
                <w:szCs w:val="18"/>
              </w:rPr>
              <w:t>Federation</w:t>
            </w:r>
          </w:p>
        </w:tc>
        <w:tc>
          <w:tcPr>
            <w:tcW w:type="dxa" w:w="5102"/>
          </w:tcPr>
          <w:p>
            <w:r/>
            <w:r>
              <w:rPr>
                <w:rFonts w:ascii="Calibri" w:hAnsi="Calibri" w:cs="Calibri" w:eastAsia="Calibri"/>
                <w:b w:val="0"/>
                <w:i w:val="0"/>
                <w:sz w:val="18"/>
                <w:szCs w:val="18"/>
              </w:rPr>
              <w:t>Microsoft Entra ID SSO for Microsoft 365 and ERP; HIS SSO planned 2027</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Follow NIST SP 800-63B guidance: length and breach checks beat complexity rules and forced rotation.</w:t>
      </w:r>
    </w:p>
    <w:p>
      <w:pPr>
        <w:pStyle w:val="ListBullet"/>
        <w:spacing w:after="40"/>
      </w:pPr>
      <w:r>
        <w:rPr>
          <w:rFonts w:ascii="Calibri" w:hAnsi="Calibri" w:cs="Calibri" w:eastAsia="Calibri"/>
          <w:b w:val="0"/>
          <w:i w:val="0"/>
          <w:sz w:val="21"/>
          <w:szCs w:val="21"/>
        </w:rPr>
        <w:t>Move privileged users to phishing-resistant MFA first; push-notification MFA is vulnerable to fatigue attacks.</w:t>
      </w:r>
    </w:p>
    <w:p>
      <w:pPr>
        <w:pStyle w:val="ListBullet"/>
        <w:spacing w:after="40"/>
      </w:pPr>
      <w:r>
        <w:rPr>
          <w:rFonts w:ascii="Calibri" w:hAnsi="Calibri" w:cs="Calibri" w:eastAsia="Calibri"/>
          <w:b w:val="0"/>
          <w:i w:val="0"/>
          <w:sz w:val="21"/>
          <w:szCs w:val="21"/>
        </w:rPr>
        <w:t>Monitor for impossible travel and anomalous sign-ins.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Enforcing 90-day password changes, which leads to predictable passwords.</w:t>
      </w:r>
    </w:p>
    <w:p>
      <w:pPr>
        <w:pStyle w:val="ListBullet"/>
        <w:spacing w:after="40"/>
      </w:pPr>
      <w:r>
        <w:rPr>
          <w:rFonts w:ascii="Calibri" w:hAnsi="Calibri" w:cs="Calibri" w:eastAsia="Calibri"/>
          <w:b w:val="0"/>
          <w:i w:val="0"/>
          <w:sz w:val="21"/>
          <w:szCs w:val="21"/>
        </w:rPr>
        <w:t>Exempting executives from MFA.</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PR.AA-01: Identities and credentials for authorized users, services, and hardware are managed</w:t>
            </w:r>
          </w:p>
          <w:p>
            <w:r>
              <w:rPr>
                <w:rFonts w:ascii="Calibri" w:hAnsi="Calibri" w:cs="Calibri" w:eastAsia="Calibri"/>
                <w:b w:val="0"/>
                <w:i w:val="0"/>
                <w:sz w:val="18"/>
                <w:szCs w:val="18"/>
              </w:rPr>
              <w:t>PR.AA-02: Identities are proofed and bound to credentials based on the context of interactions</w:t>
            </w:r>
          </w:p>
          <w:p>
            <w:r>
              <w:rPr>
                <w:rFonts w:ascii="Calibri" w:hAnsi="Calibri" w:cs="Calibri" w:eastAsia="Calibri"/>
                <w:b w:val="0"/>
                <w:i w:val="0"/>
                <w:sz w:val="18"/>
                <w:szCs w:val="18"/>
              </w:rPr>
              <w:t>PR.AA-03: Users, services, and hardware are authenticated</w:t>
            </w:r>
          </w:p>
          <w:p>
            <w:r>
              <w:rPr>
                <w:rFonts w:ascii="Calibri" w:hAnsi="Calibri" w:cs="Calibri" w:eastAsia="Calibri"/>
                <w:b w:val="0"/>
                <w:i w:val="0"/>
                <w:sz w:val="18"/>
                <w:szCs w:val="18"/>
              </w:rPr>
              <w:t>PR.AA-04: Identity assertions are protected, conveyed, and verified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A.5.16, Annex A.5.17, Annex A.8.5</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IA-2, IA-5, IA-8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5.16, 5.17, and 8.5; NIST SP 800-63B-4</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PR-POL-001: Access Control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PR-STD-001  |  Identity and Authentication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