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Privileged Access Management Standard</w:t>
      </w:r>
    </w:p>
    <w:p>
      <w:pPr>
        <w:spacing w:after="80" w:before="0"/>
      </w:pPr>
      <w:r>
        <w:rPr>
          <w:rFonts w:ascii="Calibri" w:hAnsi="Calibri" w:cs="Calibri" w:eastAsia="Calibri"/>
          <w:b w:val="0"/>
          <w:i w:val="0"/>
          <w:color w:val="595959"/>
          <w:sz w:val="18"/>
          <w:szCs w:val="18"/>
        </w:rPr>
        <w:t>PR-STD-002  |  Standard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Privileged Access Management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10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10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 and 8.18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19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10 September 2026</w:t>
            </w:r>
          </w:p>
        </w:tc>
        <w:tc>
          <w:tcPr>
            <w:tcW w:type="dxa" w:w="3742"/>
          </w:tcPr>
          <w:p>
            <w:r/>
            <w:r>
              <w:rPr>
                <w:rFonts w:ascii="Calibri" w:hAnsi="Calibri" w:cs="Calibri" w:eastAsia="Calibri"/>
                <w:b w:val="0"/>
                <w:i w:val="0"/>
                <w:sz w:val="18"/>
                <w:szCs w:val="18"/>
              </w:rPr>
              <w:t>Updated in June 2026 after the PAM platform went live for domain administrators and HIS administrators (MR26-01).</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managing privileged accounts and administrative access, the most targeted access in ransomware attacks (PR.AA-05).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privileged access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Requirement</w:t>
            </w:r>
          </w:p>
        </w:tc>
      </w:tr>
      <w:tr>
        <w:tc>
          <w:tcPr>
            <w:tcW w:type="dxa" w:w="907"/>
          </w:tcPr>
          <w:p>
            <w:r/>
            <w:r>
              <w:rPr>
                <w:rFonts w:ascii="Calibri" w:hAnsi="Calibri" w:cs="Calibri" w:eastAsia="Calibri"/>
                <w:b w:val="0"/>
                <w:i w:val="0"/>
                <w:sz w:val="18"/>
                <w:szCs w:val="18"/>
              </w:rPr>
              <w:t>PA-01</w:t>
            </w:r>
          </w:p>
        </w:tc>
        <w:tc>
          <w:tcPr>
            <w:tcW w:type="dxa" w:w="8447"/>
          </w:tcPr>
          <w:p>
            <w:r/>
            <w:r>
              <w:rPr>
                <w:rFonts w:ascii="Calibri" w:hAnsi="Calibri" w:cs="Calibri" w:eastAsia="Calibri"/>
                <w:b w:val="0"/>
                <w:i w:val="0"/>
                <w:sz w:val="18"/>
                <w:szCs w:val="18"/>
              </w:rPr>
              <w:t>Administrators use a separate named privileged account, never their daily user account.</w:t>
            </w:r>
          </w:p>
        </w:tc>
      </w:tr>
      <w:tr>
        <w:tc>
          <w:tcPr>
            <w:tcW w:type="dxa" w:w="907"/>
          </w:tcPr>
          <w:p>
            <w:r/>
            <w:r>
              <w:rPr>
                <w:rFonts w:ascii="Calibri" w:hAnsi="Calibri" w:cs="Calibri" w:eastAsia="Calibri"/>
                <w:b w:val="0"/>
                <w:i w:val="0"/>
                <w:sz w:val="18"/>
                <w:szCs w:val="18"/>
              </w:rPr>
              <w:t>PA-02</w:t>
            </w:r>
          </w:p>
        </w:tc>
        <w:tc>
          <w:tcPr>
            <w:tcW w:type="dxa" w:w="8447"/>
          </w:tcPr>
          <w:p>
            <w:r/>
            <w:r>
              <w:rPr>
                <w:rFonts w:ascii="Calibri" w:hAnsi="Calibri" w:cs="Calibri" w:eastAsia="Calibri"/>
                <w:b w:val="0"/>
                <w:i w:val="0"/>
                <w:sz w:val="18"/>
                <w:szCs w:val="18"/>
              </w:rPr>
              <w:t>All privileged accounts are recorded in the Privileged Account Register (PR-REG-001) with owner and justification.</w:t>
            </w:r>
          </w:p>
        </w:tc>
      </w:tr>
      <w:tr>
        <w:tc>
          <w:tcPr>
            <w:tcW w:type="dxa" w:w="907"/>
          </w:tcPr>
          <w:p>
            <w:r/>
            <w:r>
              <w:rPr>
                <w:rFonts w:ascii="Calibri" w:hAnsi="Calibri" w:cs="Calibri" w:eastAsia="Calibri"/>
                <w:b w:val="0"/>
                <w:i w:val="0"/>
                <w:sz w:val="18"/>
                <w:szCs w:val="18"/>
              </w:rPr>
              <w:t>PA-03</w:t>
            </w:r>
          </w:p>
        </w:tc>
        <w:tc>
          <w:tcPr>
            <w:tcW w:type="dxa" w:w="8447"/>
          </w:tcPr>
          <w:p>
            <w:r/>
            <w:r>
              <w:rPr>
                <w:rFonts w:ascii="Calibri" w:hAnsi="Calibri" w:cs="Calibri" w:eastAsia="Calibri"/>
                <w:b w:val="0"/>
                <w:i w:val="0"/>
                <w:sz w:val="18"/>
                <w:szCs w:val="18"/>
              </w:rPr>
              <w:t>Privileged access requires phishing-resistant MFA and goes through a privileged access management (PAM) jump host with session recording.</w:t>
            </w:r>
          </w:p>
        </w:tc>
      </w:tr>
      <w:tr>
        <w:tc>
          <w:tcPr>
            <w:tcW w:type="dxa" w:w="907"/>
          </w:tcPr>
          <w:p>
            <w:r/>
            <w:r>
              <w:rPr>
                <w:rFonts w:ascii="Calibri" w:hAnsi="Calibri" w:cs="Calibri" w:eastAsia="Calibri"/>
                <w:b w:val="0"/>
                <w:i w:val="0"/>
                <w:sz w:val="18"/>
                <w:szCs w:val="18"/>
              </w:rPr>
              <w:t>PA-04</w:t>
            </w:r>
          </w:p>
        </w:tc>
        <w:tc>
          <w:tcPr>
            <w:tcW w:type="dxa" w:w="8447"/>
          </w:tcPr>
          <w:p>
            <w:r/>
            <w:r>
              <w:rPr>
                <w:rFonts w:ascii="Calibri" w:hAnsi="Calibri" w:cs="Calibri" w:eastAsia="Calibri"/>
                <w:b w:val="0"/>
                <w:i w:val="0"/>
                <w:sz w:val="18"/>
                <w:szCs w:val="18"/>
              </w:rPr>
              <w:t>Domain and cloud tenant administrator accounts are limited to the minimum number (target: no more than 5).</w:t>
            </w:r>
          </w:p>
        </w:tc>
      </w:tr>
      <w:tr>
        <w:tc>
          <w:tcPr>
            <w:tcW w:type="dxa" w:w="907"/>
          </w:tcPr>
          <w:p>
            <w:r/>
            <w:r>
              <w:rPr>
                <w:rFonts w:ascii="Calibri" w:hAnsi="Calibri" w:cs="Calibri" w:eastAsia="Calibri"/>
                <w:b w:val="0"/>
                <w:i w:val="0"/>
                <w:sz w:val="18"/>
                <w:szCs w:val="18"/>
              </w:rPr>
              <w:t>PA-05</w:t>
            </w:r>
          </w:p>
        </w:tc>
        <w:tc>
          <w:tcPr>
            <w:tcW w:type="dxa" w:w="8447"/>
          </w:tcPr>
          <w:p>
            <w:r/>
            <w:r>
              <w:rPr>
                <w:rFonts w:ascii="Calibri" w:hAnsi="Calibri" w:cs="Calibri" w:eastAsia="Calibri"/>
                <w:b w:val="0"/>
                <w:i w:val="0"/>
                <w:sz w:val="18"/>
                <w:szCs w:val="18"/>
              </w:rPr>
              <w:t>Use just-in-time elevation where available; standing privileges are reviewed quarterly.</w:t>
            </w:r>
          </w:p>
        </w:tc>
      </w:tr>
      <w:tr>
        <w:tc>
          <w:tcPr>
            <w:tcW w:type="dxa" w:w="907"/>
          </w:tcPr>
          <w:p>
            <w:r/>
            <w:r>
              <w:rPr>
                <w:rFonts w:ascii="Calibri" w:hAnsi="Calibri" w:cs="Calibri" w:eastAsia="Calibri"/>
                <w:b w:val="0"/>
                <w:i w:val="0"/>
                <w:sz w:val="18"/>
                <w:szCs w:val="18"/>
              </w:rPr>
              <w:t>PA-06</w:t>
            </w:r>
          </w:p>
        </w:tc>
        <w:tc>
          <w:tcPr>
            <w:tcW w:type="dxa" w:w="8447"/>
          </w:tcPr>
          <w:p>
            <w:r/>
            <w:r>
              <w:rPr>
                <w:rFonts w:ascii="Calibri" w:hAnsi="Calibri" w:cs="Calibri" w:eastAsia="Calibri"/>
                <w:b w:val="0"/>
                <w:i w:val="0"/>
                <w:sz w:val="18"/>
                <w:szCs w:val="18"/>
              </w:rPr>
              <w:t>Privileged sessions are logged and forwarded to the security monitoring platform.</w:t>
            </w:r>
          </w:p>
        </w:tc>
      </w:tr>
      <w:tr>
        <w:tc>
          <w:tcPr>
            <w:tcW w:type="dxa" w:w="907"/>
          </w:tcPr>
          <w:p>
            <w:r/>
            <w:r>
              <w:rPr>
                <w:rFonts w:ascii="Calibri" w:hAnsi="Calibri" w:cs="Calibri" w:eastAsia="Calibri"/>
                <w:b w:val="0"/>
                <w:i w:val="0"/>
                <w:sz w:val="18"/>
                <w:szCs w:val="18"/>
              </w:rPr>
              <w:t>PA-07</w:t>
            </w:r>
          </w:p>
        </w:tc>
        <w:tc>
          <w:tcPr>
            <w:tcW w:type="dxa" w:w="8447"/>
          </w:tcPr>
          <w:p>
            <w:r/>
            <w:r>
              <w:rPr>
                <w:rFonts w:ascii="Calibri" w:hAnsi="Calibri" w:cs="Calibri" w:eastAsia="Calibri"/>
                <w:b w:val="0"/>
                <w:i w:val="0"/>
                <w:sz w:val="18"/>
                <w:szCs w:val="18"/>
              </w:rPr>
              <w:t>Administrators use hardened admin workstations that do not browse the internet or read email.</w:t>
            </w:r>
          </w:p>
        </w:tc>
      </w:tr>
      <w:tr>
        <w:tc>
          <w:tcPr>
            <w:tcW w:type="dxa" w:w="907"/>
          </w:tcPr>
          <w:p>
            <w:r/>
            <w:r>
              <w:rPr>
                <w:rFonts w:ascii="Calibri" w:hAnsi="Calibri" w:cs="Calibri" w:eastAsia="Calibri"/>
                <w:b w:val="0"/>
                <w:i w:val="0"/>
                <w:sz w:val="18"/>
                <w:szCs w:val="18"/>
              </w:rPr>
              <w:t>PA-08</w:t>
            </w:r>
          </w:p>
        </w:tc>
        <w:tc>
          <w:tcPr>
            <w:tcW w:type="dxa" w:w="8447"/>
          </w:tcPr>
          <w:p>
            <w:r/>
            <w:r>
              <w:rPr>
                <w:rFonts w:ascii="Calibri" w:hAnsi="Calibri" w:cs="Calibri" w:eastAsia="Calibri"/>
                <w:b w:val="0"/>
                <w:i w:val="0"/>
                <w:sz w:val="18"/>
                <w:szCs w:val="18"/>
              </w:rPr>
              <w:t>Emergency (break-glass) accounts are stored in a sealed vault, monitored, and tested twice a year.</w:t>
            </w:r>
          </w:p>
        </w:tc>
      </w:tr>
      <w:tr>
        <w:tc>
          <w:tcPr>
            <w:tcW w:type="dxa" w:w="907"/>
          </w:tcPr>
          <w:p>
            <w:r/>
            <w:r>
              <w:rPr>
                <w:rFonts w:ascii="Calibri" w:hAnsi="Calibri" w:cs="Calibri" w:eastAsia="Calibri"/>
                <w:b w:val="0"/>
                <w:i w:val="0"/>
                <w:sz w:val="18"/>
                <w:szCs w:val="18"/>
              </w:rPr>
              <w:t>PA-09</w:t>
            </w:r>
          </w:p>
        </w:tc>
        <w:tc>
          <w:tcPr>
            <w:tcW w:type="dxa" w:w="8447"/>
          </w:tcPr>
          <w:p>
            <w:r/>
            <w:r>
              <w:rPr>
                <w:rFonts w:ascii="Calibri" w:hAnsi="Calibri" w:cs="Calibri" w:eastAsia="Calibri"/>
                <w:b w:val="0"/>
                <w:i w:val="0"/>
                <w:sz w:val="18"/>
                <w:szCs w:val="18"/>
              </w:rPr>
              <w:t>Local administrator passwords on endpoints and servers are unique and rotated automatically.</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Implement a tiered administration model (Tier 0 identity systems, Tier 1 servers, Tier 2 workstations) to stop credential reuse across tiers.</w:t>
      </w:r>
    </w:p>
    <w:p>
      <w:pPr>
        <w:pStyle w:val="ListBullet"/>
        <w:spacing w:after="40"/>
      </w:pPr>
      <w:r>
        <w:rPr>
          <w:rFonts w:ascii="Calibri" w:hAnsi="Calibri" w:cs="Calibri" w:eastAsia="Calibri"/>
          <w:b w:val="0"/>
          <w:i w:val="0"/>
          <w:sz w:val="21"/>
          <w:szCs w:val="21"/>
        </w:rPr>
        <w:t>Route all vendor administrative access through the same PAM platform.</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Dozens of domain administrator accounts, many unused or belonging to former vendors.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PR.AA-05: Access permissions, entitlements, and authorizations are defined, managed, enforced, and reviewed</w:t>
            </w:r>
          </w:p>
          <w:p>
            <w:r>
              <w:rPr>
                <w:rFonts w:ascii="Calibri" w:hAnsi="Calibri" w:cs="Calibri" w:eastAsia="Calibri"/>
                <w:b w:val="0"/>
                <w:i w:val="0"/>
                <w:sz w:val="18"/>
                <w:szCs w:val="18"/>
              </w:rPr>
              <w:t>PR.AA-01: Identities and credentials for authorized users, services, and hardware are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 Annex A.8.18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AC-6, AC-2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 and 8.18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PR-POL-001: Access Control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PR-FRM-002: Privileged Access Request Form</w:t>
            </w:r>
          </w:p>
          <w:p>
            <w:r>
              <w:rPr>
                <w:rFonts w:ascii="Calibri" w:hAnsi="Calibri" w:cs="Calibri" w:eastAsia="Calibri"/>
                <w:b w:val="0"/>
                <w:i w:val="0"/>
                <w:sz w:val="18"/>
                <w:szCs w:val="18"/>
              </w:rPr>
              <w:t>PR-REG-001: Privileged Account Register</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PR-STD-002  |  Privileged Access Management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