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Remote Access Standard</w:t>
      </w:r>
    </w:p>
    <w:p>
      <w:pPr>
        <w:spacing w:after="80" w:before="0"/>
      </w:pPr>
      <w:r>
        <w:rPr>
          <w:rFonts w:ascii="Calibri" w:hAnsi="Calibri" w:cs="Calibri" w:eastAsia="Calibri"/>
          <w:b w:val="0"/>
          <w:i w:val="0"/>
          <w:color w:val="595959"/>
          <w:sz w:val="18"/>
          <w:szCs w:val="18"/>
        </w:rPr>
        <w:t>PR-STD-003  |  Standard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Remote Access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21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21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6.7 and 8.20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26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21 May 2026</w:t>
            </w:r>
          </w:p>
        </w:tc>
        <w:tc>
          <w:tcPr>
            <w:tcW w:type="dxa" w:w="3742"/>
          </w:tcPr>
          <w:p>
            <w:r/>
            <w:r>
              <w:rPr>
                <w:rFonts w:ascii="Calibri" w:hAnsi="Calibri" w:cs="Calibri" w:eastAsia="Calibri"/>
                <w:b w:val="0"/>
                <w:i w:val="0"/>
                <w:sz w:val="18"/>
                <w:szCs w:val="18"/>
              </w:rPr>
              <w:t>Updated in August 2026 after the PACS vendor remote access issue: unapproved remote support agents prohibited and vendor session timeout reduced.</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requirements for remote access by staff and third parties, including VPN, remote desktop, and vendor support tools.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remote access requirements for staff and vendors.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8448"/>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8447"/>
            <w:shd w:val="clear" w:color="auto" w:fill="1F3864"/>
          </w:tcPr>
          <w:p>
            <w:r/>
            <w:r>
              <w:rPr>
                <w:rFonts w:ascii="Calibri" w:hAnsi="Calibri" w:cs="Calibri" w:eastAsia="Calibri"/>
                <w:b/>
                <w:i w:val="0"/>
                <w:color w:val="FFFFFF"/>
                <w:sz w:val="18"/>
                <w:szCs w:val="18"/>
                <w:bCs/>
              </w:rPr>
              <w:t>CMC requirement</w:t>
            </w:r>
          </w:p>
        </w:tc>
      </w:tr>
      <w:tr>
        <w:tc>
          <w:tcPr>
            <w:tcW w:type="dxa" w:w="907"/>
          </w:tcPr>
          <w:p>
            <w:r/>
            <w:r>
              <w:rPr>
                <w:rFonts w:ascii="Calibri" w:hAnsi="Calibri" w:cs="Calibri" w:eastAsia="Calibri"/>
                <w:b w:val="0"/>
                <w:i w:val="0"/>
                <w:sz w:val="18"/>
                <w:szCs w:val="18"/>
              </w:rPr>
              <w:t>RA-01</w:t>
            </w:r>
          </w:p>
        </w:tc>
        <w:tc>
          <w:tcPr>
            <w:tcW w:type="dxa" w:w="8447"/>
          </w:tcPr>
          <w:p>
            <w:r/>
            <w:r>
              <w:rPr>
                <w:rFonts w:ascii="Calibri" w:hAnsi="Calibri" w:cs="Calibri" w:eastAsia="Calibri"/>
                <w:b w:val="0"/>
                <w:i w:val="0"/>
                <w:sz w:val="18"/>
                <w:szCs w:val="18"/>
              </w:rPr>
              <w:t>Staff remote access through the CMC VPN with Microsoft Authenticator MFA.</w:t>
            </w:r>
          </w:p>
        </w:tc>
      </w:tr>
      <w:tr>
        <w:tc>
          <w:tcPr>
            <w:tcW w:type="dxa" w:w="907"/>
          </w:tcPr>
          <w:p>
            <w:r/>
            <w:r>
              <w:rPr>
                <w:rFonts w:ascii="Calibri" w:hAnsi="Calibri" w:cs="Calibri" w:eastAsia="Calibri"/>
                <w:b w:val="0"/>
                <w:i w:val="0"/>
                <w:sz w:val="18"/>
                <w:szCs w:val="18"/>
              </w:rPr>
              <w:t>RA-02</w:t>
            </w:r>
          </w:p>
        </w:tc>
        <w:tc>
          <w:tcPr>
            <w:tcW w:type="dxa" w:w="8447"/>
          </w:tcPr>
          <w:p>
            <w:r/>
            <w:r>
              <w:rPr>
                <w:rFonts w:ascii="Calibri" w:hAnsi="Calibri" w:cs="Calibri" w:eastAsia="Calibri"/>
                <w:b w:val="0"/>
                <w:i w:val="0"/>
                <w:sz w:val="18"/>
                <w:szCs w:val="18"/>
              </w:rPr>
              <w:t>External attack surface scan weekly confirms no RDP exposure.</w:t>
            </w:r>
          </w:p>
        </w:tc>
      </w:tr>
      <w:tr>
        <w:tc>
          <w:tcPr>
            <w:tcW w:type="dxa" w:w="907"/>
          </w:tcPr>
          <w:p>
            <w:r/>
            <w:r>
              <w:rPr>
                <w:rFonts w:ascii="Calibri" w:hAnsi="Calibri" w:cs="Calibri" w:eastAsia="Calibri"/>
                <w:b w:val="0"/>
                <w:i w:val="0"/>
                <w:sz w:val="18"/>
                <w:szCs w:val="18"/>
              </w:rPr>
              <w:t>RA-03</w:t>
            </w:r>
          </w:p>
        </w:tc>
        <w:tc>
          <w:tcPr>
            <w:tcW w:type="dxa" w:w="8447"/>
          </w:tcPr>
          <w:p>
            <w:r/>
            <w:r>
              <w:rPr>
                <w:rFonts w:ascii="Calibri" w:hAnsi="Calibri" w:cs="Calibri" w:eastAsia="Calibri"/>
                <w:b w:val="0"/>
                <w:i w:val="0"/>
                <w:sz w:val="18"/>
                <w:szCs w:val="18"/>
              </w:rPr>
              <w:t>Only CMC-managed laptops can connect to the VPN; physicians use the HIS web portal through the reverse proxy with MFA.</w:t>
            </w:r>
          </w:p>
        </w:tc>
      </w:tr>
      <w:tr>
        <w:tc>
          <w:tcPr>
            <w:tcW w:type="dxa" w:w="907"/>
          </w:tcPr>
          <w:p>
            <w:r/>
            <w:r>
              <w:rPr>
                <w:rFonts w:ascii="Calibri" w:hAnsi="Calibri" w:cs="Calibri" w:eastAsia="Calibri"/>
                <w:b w:val="0"/>
                <w:i w:val="0"/>
                <w:sz w:val="18"/>
                <w:szCs w:val="18"/>
              </w:rPr>
              <w:t>RA-04</w:t>
            </w:r>
          </w:p>
        </w:tc>
        <w:tc>
          <w:tcPr>
            <w:tcW w:type="dxa" w:w="8447"/>
          </w:tcPr>
          <w:p>
            <w:r/>
            <w:r>
              <w:rPr>
                <w:rFonts w:ascii="Calibri" w:hAnsi="Calibri" w:cs="Calibri" w:eastAsia="Calibri"/>
                <w:b w:val="0"/>
                <w:i w:val="0"/>
                <w:sz w:val="18"/>
                <w:szCs w:val="18"/>
              </w:rPr>
              <w:t>HIS Vendor A, PACS Vendor B, and LIS Vendor C connect through the PAM jump host; sessions recorded and kept 180 days.</w:t>
            </w:r>
          </w:p>
        </w:tc>
      </w:tr>
      <w:tr>
        <w:tc>
          <w:tcPr>
            <w:tcW w:type="dxa" w:w="907"/>
          </w:tcPr>
          <w:p>
            <w:r/>
            <w:r>
              <w:rPr>
                <w:rFonts w:ascii="Calibri" w:hAnsi="Calibri" w:cs="Calibri" w:eastAsia="Calibri"/>
                <w:b w:val="0"/>
                <w:i w:val="0"/>
                <w:sz w:val="18"/>
                <w:szCs w:val="18"/>
              </w:rPr>
              <w:t>RA-05</w:t>
            </w:r>
          </w:p>
        </w:tc>
        <w:tc>
          <w:tcPr>
            <w:tcW w:type="dxa" w:w="8447"/>
          </w:tcPr>
          <w:p>
            <w:r/>
            <w:r>
              <w:rPr>
                <w:rFonts w:ascii="Calibri" w:hAnsi="Calibri" w:cs="Calibri" w:eastAsia="Calibri"/>
                <w:b w:val="0"/>
                <w:i w:val="0"/>
                <w:sz w:val="18"/>
                <w:szCs w:val="18"/>
              </w:rPr>
              <w:t>Two unapproved remote support agents found on modality workstations in 2026 were removed (INC-2026-021).</w:t>
            </w:r>
          </w:p>
        </w:tc>
      </w:tr>
      <w:tr>
        <w:tc>
          <w:tcPr>
            <w:tcW w:type="dxa" w:w="907"/>
          </w:tcPr>
          <w:p>
            <w:r/>
            <w:r>
              <w:rPr>
                <w:rFonts w:ascii="Calibri" w:hAnsi="Calibri" w:cs="Calibri" w:eastAsia="Calibri"/>
                <w:b w:val="0"/>
                <w:i w:val="0"/>
                <w:sz w:val="18"/>
                <w:szCs w:val="18"/>
              </w:rPr>
              <w:t>RA-06</w:t>
            </w:r>
          </w:p>
        </w:tc>
        <w:tc>
          <w:tcPr>
            <w:tcW w:type="dxa" w:w="8447"/>
          </w:tcPr>
          <w:p>
            <w:r/>
            <w:r>
              <w:rPr>
                <w:rFonts w:ascii="Calibri" w:hAnsi="Calibri" w:cs="Calibri" w:eastAsia="Calibri"/>
                <w:b w:val="0"/>
                <w:i w:val="0"/>
                <w:sz w:val="18"/>
                <w:szCs w:val="18"/>
              </w:rPr>
              <w:t>30 minutes for staff VPN; 15 minutes for vendor sessions.</w:t>
            </w:r>
          </w:p>
        </w:tc>
      </w:tr>
      <w:tr>
        <w:tc>
          <w:tcPr>
            <w:tcW w:type="dxa" w:w="907"/>
          </w:tcPr>
          <w:p>
            <w:r/>
            <w:r>
              <w:rPr>
                <w:rFonts w:ascii="Calibri" w:hAnsi="Calibri" w:cs="Calibri" w:eastAsia="Calibri"/>
                <w:b w:val="0"/>
                <w:i w:val="0"/>
                <w:sz w:val="18"/>
                <w:szCs w:val="18"/>
              </w:rPr>
              <w:t>RA-07</w:t>
            </w:r>
          </w:p>
        </w:tc>
        <w:tc>
          <w:tcPr>
            <w:tcW w:type="dxa" w:w="8447"/>
          </w:tcPr>
          <w:p>
            <w:r/>
            <w:r>
              <w:rPr>
                <w:rFonts w:ascii="Calibri" w:hAnsi="Calibri" w:cs="Calibri" w:eastAsia="Calibri"/>
                <w:b w:val="0"/>
                <w:i w:val="0"/>
                <w:sz w:val="18"/>
                <w:szCs w:val="18"/>
              </w:rPr>
              <w:t>VPN and jump host logs forwarded to the MSSP.</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Prefer zero trust network access that grants access per application rather than full network access.</w:t>
      </w:r>
    </w:p>
    <w:p>
      <w:pPr>
        <w:pStyle w:val="ListBullet"/>
        <w:spacing w:after="40"/>
      </w:pPr>
      <w:r>
        <w:rPr>
          <w:rFonts w:ascii="Calibri" w:hAnsi="Calibri" w:cs="Calibri" w:eastAsia="Calibri"/>
          <w:b w:val="0"/>
          <w:i w:val="0"/>
          <w:sz w:val="21"/>
          <w:szCs w:val="21"/>
        </w:rPr>
        <w:t>Disable vendor accounts by default and enable them only for approved sessions.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Vendors keep always-on VPN accounts with shared passwords for years.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PR.AA-03: Users, services, and hardware are authenticated</w:t>
            </w:r>
          </w:p>
          <w:p>
            <w:r>
              <w:rPr>
                <w:rFonts w:ascii="Calibri" w:hAnsi="Calibri" w:cs="Calibri" w:eastAsia="Calibri"/>
                <w:b w:val="0"/>
                <w:i w:val="0"/>
                <w:sz w:val="18"/>
                <w:szCs w:val="18"/>
              </w:rPr>
              <w:t>PR.AA-05: Access permissions, entitlements, and authorizations are defined, managed, enforced, and reviewed</w:t>
            </w:r>
          </w:p>
          <w:p>
            <w:r>
              <w:rPr>
                <w:rFonts w:ascii="Calibri" w:hAnsi="Calibri" w:cs="Calibri" w:eastAsia="Calibri"/>
                <w:b w:val="0"/>
                <w:i w:val="0"/>
                <w:sz w:val="18"/>
                <w:szCs w:val="18"/>
              </w:rPr>
              <w:t>PR.IR-01: Networks and environments are protected from unauthorized logical access and usage</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A.6.7, Annex A.8.20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AC-17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6.7 and 8.20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PR-POL-001: Access Control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PR-FRM-003: Third-Party Remote Access Request Form</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PR-STD-003  |  Remote Access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