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Security Awareness and Training Program</w:t>
      </w:r>
    </w:p>
    <w:p>
      <w:pPr>
        <w:spacing w:after="80" w:before="0"/>
      </w:pPr>
      <w:r>
        <w:rPr>
          <w:rFonts w:ascii="Calibri" w:hAnsi="Calibri" w:cs="Calibri" w:eastAsia="Calibri"/>
          <w:b w:val="0"/>
          <w:i w:val="0"/>
          <w:color w:val="595959"/>
          <w:sz w:val="18"/>
          <w:szCs w:val="18"/>
        </w:rPr>
        <w:t>PR-PLN-001  |  Plan  |  Awareness and Training (PR.AT)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PR-PLN-001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Security Awareness and Training Program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7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7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Awareness and Training (PR.AT)</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Clause 7.3 and Annex A 6.3; PDPC Notification on Security Measures B.E. 2565 (awareness)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People (A.6); tags: People,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22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7 March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program plans security awareness and role-based training so that all personnel understand their responsibilities and specialized roles have the skills they need (PR.AT-01, PR.AT-02; NIST SP 800-50 Rev. 1).</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Audiences and Content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audiences, topics, delivery, and frequency.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3685"/>
        <w:gridCol w:w="1984"/>
        <w:gridCol w:w="1701"/>
      </w:tblGrid>
      <w:tr>
        <w:trPr>
          <w:tblHeader w:val="true"/>
        </w:trPr>
        <w:tc>
          <w:tcPr>
            <w:tcW w:type="dxa" w:w="1984"/>
            <w:shd w:val="clear" w:color="auto" w:fill="1F3864"/>
          </w:tcPr>
          <w:p>
            <w:r/>
            <w:r>
              <w:rPr>
                <w:rFonts w:ascii="Calibri" w:hAnsi="Calibri" w:cs="Calibri" w:eastAsia="Calibri"/>
                <w:b/>
                <w:i w:val="0"/>
                <w:color w:val="FFFFFF"/>
                <w:sz w:val="18"/>
                <w:szCs w:val="18"/>
                <w:bCs/>
              </w:rPr>
              <w:t>Audience</w:t>
            </w:r>
          </w:p>
        </w:tc>
        <w:tc>
          <w:tcPr>
            <w:tcW w:type="dxa" w:w="3685"/>
            <w:shd w:val="clear" w:color="auto" w:fill="1F3864"/>
          </w:tcPr>
          <w:p>
            <w:r/>
            <w:r>
              <w:rPr>
                <w:rFonts w:ascii="Calibri" w:hAnsi="Calibri" w:cs="Calibri" w:eastAsia="Calibri"/>
                <w:b/>
                <w:i w:val="0"/>
                <w:color w:val="FFFFFF"/>
                <w:sz w:val="18"/>
                <w:szCs w:val="18"/>
                <w:bCs/>
              </w:rPr>
              <w:t>Topics</w:t>
            </w:r>
          </w:p>
        </w:tc>
        <w:tc>
          <w:tcPr>
            <w:tcW w:type="dxa" w:w="1984"/>
            <w:shd w:val="clear" w:color="auto" w:fill="1F3864"/>
          </w:tcPr>
          <w:p>
            <w:r/>
            <w:r>
              <w:rPr>
                <w:rFonts w:ascii="Calibri" w:hAnsi="Calibri" w:cs="Calibri" w:eastAsia="Calibri"/>
                <w:b/>
                <w:i w:val="0"/>
                <w:color w:val="FFFFFF"/>
                <w:sz w:val="18"/>
                <w:szCs w:val="18"/>
                <w:bCs/>
              </w:rPr>
              <w:t>Delivery</w:t>
            </w:r>
          </w:p>
        </w:tc>
        <w:tc>
          <w:tcPr>
            <w:tcW w:type="dxa" w:w="1701"/>
            <w:shd w:val="clear" w:color="auto" w:fill="1F3864"/>
          </w:tcPr>
          <w:p>
            <w:r/>
            <w:r>
              <w:rPr>
                <w:rFonts w:ascii="Calibri" w:hAnsi="Calibri" w:cs="Calibri" w:eastAsia="Calibri"/>
                <w:b/>
                <w:i w:val="0"/>
                <w:color w:val="FFFFFF"/>
                <w:sz w:val="18"/>
                <w:szCs w:val="18"/>
                <w:bCs/>
              </w:rPr>
              <w:t>Frequency</w:t>
            </w:r>
          </w:p>
        </w:tc>
      </w:tr>
      <w:tr>
        <w:tc>
          <w:tcPr>
            <w:tcW w:type="dxa" w:w="1984"/>
          </w:tcPr>
          <w:p>
            <w:r/>
            <w:r>
              <w:rPr>
                <w:rFonts w:ascii="Calibri" w:hAnsi="Calibri" w:cs="Calibri" w:eastAsia="Calibri"/>
                <w:b w:val="0"/>
                <w:i w:val="0"/>
                <w:sz w:val="18"/>
                <w:szCs w:val="18"/>
              </w:rPr>
              <w:t>All staff (1,200)</w:t>
            </w:r>
          </w:p>
        </w:tc>
        <w:tc>
          <w:tcPr>
            <w:tcW w:type="dxa" w:w="3685"/>
          </w:tcPr>
          <w:p>
            <w:r/>
            <w:r>
              <w:rPr>
                <w:rFonts w:ascii="Calibri" w:hAnsi="Calibri" w:cs="Calibri" w:eastAsia="Calibri"/>
                <w:b w:val="0"/>
                <w:i w:val="0"/>
                <w:sz w:val="18"/>
                <w:szCs w:val="18"/>
              </w:rPr>
              <w:t>Phishing, MFA, patient data handling, reporting, acceptable use</w:t>
            </w:r>
          </w:p>
        </w:tc>
        <w:tc>
          <w:tcPr>
            <w:tcW w:type="dxa" w:w="1984"/>
          </w:tcPr>
          <w:p>
            <w:r/>
            <w:r>
              <w:rPr>
                <w:rFonts w:ascii="Calibri" w:hAnsi="Calibri" w:cs="Calibri" w:eastAsia="Calibri"/>
                <w:b w:val="0"/>
                <w:i w:val="0"/>
                <w:sz w:val="18"/>
                <w:szCs w:val="18"/>
              </w:rPr>
              <w:t>20-minute e-learning in Thai and English</w:t>
            </w:r>
          </w:p>
        </w:tc>
        <w:tc>
          <w:tcPr>
            <w:tcW w:type="dxa" w:w="1701"/>
          </w:tcPr>
          <w:p>
            <w:r/>
            <w:r>
              <w:rPr>
                <w:rFonts w:ascii="Calibri" w:hAnsi="Calibri" w:cs="Calibri" w:eastAsia="Calibri"/>
                <w:b w:val="0"/>
                <w:i w:val="0"/>
                <w:sz w:val="18"/>
                <w:szCs w:val="18"/>
              </w:rPr>
              <w:t>Onboarding and annually</w:t>
            </w:r>
          </w:p>
        </w:tc>
      </w:tr>
      <w:tr>
        <w:tc>
          <w:tcPr>
            <w:tcW w:type="dxa" w:w="1984"/>
          </w:tcPr>
          <w:p>
            <w:r/>
            <w:r>
              <w:rPr>
                <w:rFonts w:ascii="Calibri" w:hAnsi="Calibri" w:cs="Calibri" w:eastAsia="Calibri"/>
                <w:b w:val="0"/>
                <w:i w:val="0"/>
                <w:sz w:val="18"/>
                <w:szCs w:val="18"/>
              </w:rPr>
              <w:t>Physicians and nurses</w:t>
            </w:r>
          </w:p>
        </w:tc>
        <w:tc>
          <w:tcPr>
            <w:tcW w:type="dxa" w:w="3685"/>
          </w:tcPr>
          <w:p>
            <w:r/>
            <w:r>
              <w:rPr>
                <w:rFonts w:ascii="Calibri" w:hAnsi="Calibri" w:cs="Calibri" w:eastAsia="Calibri"/>
                <w:b w:val="0"/>
                <w:i w:val="0"/>
                <w:sz w:val="18"/>
                <w:szCs w:val="18"/>
              </w:rPr>
              <w:t>Patient privacy, shared workstation habits, clinical messaging rules</w:t>
            </w:r>
          </w:p>
        </w:tc>
        <w:tc>
          <w:tcPr>
            <w:tcW w:type="dxa" w:w="1984"/>
          </w:tcPr>
          <w:p>
            <w:r/>
            <w:r>
              <w:rPr>
                <w:rFonts w:ascii="Calibri" w:hAnsi="Calibri" w:cs="Calibri" w:eastAsia="Calibri"/>
                <w:b w:val="0"/>
                <w:i w:val="0"/>
                <w:sz w:val="18"/>
                <w:szCs w:val="18"/>
              </w:rPr>
              <w:t>10-minute module plus ward huddle talks</w:t>
            </w:r>
          </w:p>
        </w:tc>
        <w:tc>
          <w:tcPr>
            <w:tcW w:type="dxa" w:w="1701"/>
          </w:tcPr>
          <w:p>
            <w:r/>
            <w:r>
              <w:rPr>
                <w:rFonts w:ascii="Calibri" w:hAnsi="Calibri" w:cs="Calibri" w:eastAsia="Calibri"/>
                <w:b w:val="0"/>
                <w:i w:val="0"/>
                <w:sz w:val="18"/>
                <w:szCs w:val="18"/>
              </w:rPr>
              <w:t>Annually</w:t>
            </w:r>
          </w:p>
        </w:tc>
      </w:tr>
      <w:tr>
        <w:tc>
          <w:tcPr>
            <w:tcW w:type="dxa" w:w="1984"/>
          </w:tcPr>
          <w:p>
            <w:r/>
            <w:r>
              <w:rPr>
                <w:rFonts w:ascii="Calibri" w:hAnsi="Calibri" w:cs="Calibri" w:eastAsia="Calibri"/>
                <w:b w:val="0"/>
                <w:i w:val="0"/>
                <w:sz w:val="18"/>
                <w:szCs w:val="18"/>
              </w:rPr>
              <w:t>IT team (25)</w:t>
            </w:r>
          </w:p>
        </w:tc>
        <w:tc>
          <w:tcPr>
            <w:tcW w:type="dxa" w:w="3685"/>
          </w:tcPr>
          <w:p>
            <w:r/>
            <w:r>
              <w:rPr>
                <w:rFonts w:ascii="Calibri" w:hAnsi="Calibri" w:cs="Calibri" w:eastAsia="Calibri"/>
                <w:b w:val="0"/>
                <w:i w:val="0"/>
                <w:sz w:val="18"/>
                <w:szCs w:val="18"/>
              </w:rPr>
              <w:t>PAM use, secure configuration, incident first response</w:t>
            </w:r>
          </w:p>
        </w:tc>
        <w:tc>
          <w:tcPr>
            <w:tcW w:type="dxa" w:w="1984"/>
          </w:tcPr>
          <w:p>
            <w:r/>
            <w:r>
              <w:rPr>
                <w:rFonts w:ascii="Calibri" w:hAnsi="Calibri" w:cs="Calibri" w:eastAsia="Calibri"/>
                <w:b w:val="0"/>
                <w:i w:val="0"/>
                <w:sz w:val="18"/>
                <w:szCs w:val="18"/>
              </w:rPr>
              <w:t>Vendor and MSSP-led sessions</w:t>
            </w:r>
          </w:p>
        </w:tc>
        <w:tc>
          <w:tcPr>
            <w:tcW w:type="dxa" w:w="1701"/>
          </w:tcPr>
          <w:p>
            <w:r/>
            <w:r>
              <w:rPr>
                <w:rFonts w:ascii="Calibri" w:hAnsi="Calibri" w:cs="Calibri" w:eastAsia="Calibri"/>
                <w:b w:val="0"/>
                <w:i w:val="0"/>
                <w:sz w:val="18"/>
                <w:szCs w:val="18"/>
              </w:rPr>
              <w:t>Annually</w:t>
            </w:r>
          </w:p>
        </w:tc>
      </w:tr>
      <w:tr>
        <w:tc>
          <w:tcPr>
            <w:tcW w:type="dxa" w:w="1984"/>
          </w:tcPr>
          <w:p>
            <w:r/>
            <w:r>
              <w:rPr>
                <w:rFonts w:ascii="Calibri" w:hAnsi="Calibri" w:cs="Calibri" w:eastAsia="Calibri"/>
                <w:b w:val="0"/>
                <w:i w:val="0"/>
                <w:sz w:val="18"/>
                <w:szCs w:val="18"/>
              </w:rPr>
              <w:t>Finance and procurement</w:t>
            </w:r>
          </w:p>
        </w:tc>
        <w:tc>
          <w:tcPr>
            <w:tcW w:type="dxa" w:w="3685"/>
          </w:tcPr>
          <w:p>
            <w:r/>
            <w:r>
              <w:rPr>
                <w:rFonts w:ascii="Calibri" w:hAnsi="Calibri" w:cs="Calibri" w:eastAsia="Calibri"/>
                <w:b w:val="0"/>
                <w:i w:val="0"/>
                <w:sz w:val="18"/>
                <w:szCs w:val="18"/>
              </w:rPr>
              <w:t>Invoice fraud and bank detail change verification</w:t>
            </w:r>
          </w:p>
        </w:tc>
        <w:tc>
          <w:tcPr>
            <w:tcW w:type="dxa" w:w="1984"/>
          </w:tcPr>
          <w:p>
            <w:r/>
            <w:r>
              <w:rPr>
                <w:rFonts w:ascii="Calibri" w:hAnsi="Calibri" w:cs="Calibri" w:eastAsia="Calibri"/>
                <w:b w:val="0"/>
                <w:i w:val="0"/>
                <w:sz w:val="18"/>
                <w:szCs w:val="18"/>
              </w:rPr>
              <w:t>Targeted session after INC-2026-014</w:t>
            </w:r>
          </w:p>
        </w:tc>
        <w:tc>
          <w:tcPr>
            <w:tcW w:type="dxa" w:w="1701"/>
          </w:tcPr>
          <w:p>
            <w:r/>
            <w:r>
              <w:rPr>
                <w:rFonts w:ascii="Calibri" w:hAnsi="Calibri" w:cs="Calibri" w:eastAsia="Calibri"/>
                <w:b w:val="0"/>
                <w:i w:val="0"/>
                <w:sz w:val="18"/>
                <w:szCs w:val="18"/>
              </w:rPr>
              <w:t>Semi-annually</w:t>
            </w:r>
          </w:p>
        </w:tc>
      </w:tr>
      <w:tr>
        <w:tc>
          <w:tcPr>
            <w:tcW w:type="dxa" w:w="1984"/>
          </w:tcPr>
          <w:p>
            <w:r/>
            <w:r>
              <w:rPr>
                <w:rFonts w:ascii="Calibri" w:hAnsi="Calibri" w:cs="Calibri" w:eastAsia="Calibri"/>
                <w:b w:val="0"/>
                <w:i w:val="0"/>
                <w:sz w:val="18"/>
                <w:szCs w:val="18"/>
              </w:rPr>
              <w:t>ISSC and Audit Committee</w:t>
            </w:r>
          </w:p>
        </w:tc>
        <w:tc>
          <w:tcPr>
            <w:tcW w:type="dxa" w:w="3685"/>
          </w:tcPr>
          <w:p>
            <w:r/>
            <w:r>
              <w:rPr>
                <w:rFonts w:ascii="Calibri" w:hAnsi="Calibri" w:cs="Calibri" w:eastAsia="Calibri"/>
                <w:b w:val="0"/>
                <w:i w:val="0"/>
                <w:sz w:val="18"/>
                <w:szCs w:val="18"/>
              </w:rPr>
              <w:t>Ransomware decision-making, CII and PDPA notification duties</w:t>
            </w:r>
          </w:p>
        </w:tc>
        <w:tc>
          <w:tcPr>
            <w:tcW w:type="dxa" w:w="1984"/>
          </w:tcPr>
          <w:p>
            <w:r/>
            <w:r>
              <w:rPr>
                <w:rFonts w:ascii="Calibri" w:hAnsi="Calibri" w:cs="Calibri" w:eastAsia="Calibri"/>
                <w:b w:val="0"/>
                <w:i w:val="0"/>
                <w:sz w:val="18"/>
                <w:szCs w:val="18"/>
              </w:rPr>
              <w:t>Tabletop</w:t>
            </w:r>
          </w:p>
        </w:tc>
        <w:tc>
          <w:tcPr>
            <w:tcW w:type="dxa" w:w="1701"/>
          </w:tcPr>
          <w:p>
            <w:r/>
            <w:r>
              <w:rPr>
                <w:rFonts w:ascii="Calibri" w:hAnsi="Calibri" w:cs="Calibri" w:eastAsia="Calibri"/>
                <w:b w:val="0"/>
                <w:i w:val="0"/>
                <w:sz w:val="18"/>
                <w:szCs w:val="18"/>
              </w:rPr>
              <w:t>Annually</w:t>
            </w:r>
          </w:p>
        </w:tc>
      </w:tr>
    </w:tbl>
    <w:p>
      <w:pPr>
        <w:spacing w:after="40"/>
      </w:pPr>
    </w:p>
    <w:p>
      <w:pPr>
        <w:pStyle w:val="Heading2"/>
        <w:keepNext/>
        <w:spacing w:before="120" w:after="80"/>
      </w:pPr>
      <w:r>
        <w:rPr>
          <w:rFonts w:ascii="Calibri" w:hAnsi="Calibri" w:cs="Calibri" w:eastAsia="Calibri"/>
          <w:b/>
          <w:i w:val="0"/>
          <w:color w:val="1F3864"/>
          <w:sz w:val="24"/>
          <w:szCs w:val="24"/>
          <w:bCs/>
        </w:rPr>
        <w:t>4.4 Measurement</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effectiveness is measured.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Completion rate (target 95%).</w:t>
      </w:r>
    </w:p>
    <w:p>
      <w:pPr>
        <w:pStyle w:val="ListBullet"/>
        <w:spacing w:after="40"/>
      </w:pPr>
      <w:r>
        <w:rPr>
          <w:rFonts w:ascii="Calibri" w:hAnsi="Calibri" w:cs="Calibri" w:eastAsia="Calibri"/>
          <w:b w:val="0"/>
          <w:i w:val="0"/>
          <w:sz w:val="21"/>
          <w:szCs w:val="21"/>
        </w:rPr>
        <w:t>Quiz pass rate (target 80%).</w:t>
      </w:r>
    </w:p>
    <w:p>
      <w:pPr>
        <w:pStyle w:val="ListBullet"/>
        <w:spacing w:after="40"/>
      </w:pPr>
      <w:r>
        <w:rPr>
          <w:rFonts w:ascii="Calibri" w:hAnsi="Calibri" w:cs="Calibri" w:eastAsia="Calibri"/>
          <w:b w:val="0"/>
          <w:i w:val="0"/>
          <w:sz w:val="21"/>
          <w:szCs w:val="21"/>
        </w:rPr>
        <w:t>Phishing simulation click rate (target below 10%) and report rate (target above 60%).</w:t>
      </w:r>
    </w:p>
    <w:p>
      <w:pPr>
        <w:pStyle w:val="ListBullet"/>
        <w:spacing w:after="40"/>
      </w:pPr>
      <w:r>
        <w:rPr>
          <w:rFonts w:ascii="Calibri" w:hAnsi="Calibri" w:cs="Calibri" w:eastAsia="Calibri"/>
          <w:b w:val="0"/>
          <w:i w:val="0"/>
          <w:sz w:val="21"/>
          <w:szCs w:val="21"/>
        </w:rPr>
        <w:t>Number of incidents caused by user error (trend).</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PR-REG-002: Role-Based Training and Skills Matrix</w:t>
      </w:r>
    </w:p>
    <w:p>
      <w:pPr>
        <w:pStyle w:val="ListBullet"/>
        <w:spacing w:after="40"/>
      </w:pPr>
      <w:r>
        <w:rPr>
          <w:rFonts w:ascii="Calibri" w:hAnsi="Calibri" w:cs="Calibri" w:eastAsia="Calibri"/>
          <w:b w:val="0"/>
          <w:i w:val="0"/>
          <w:sz w:val="21"/>
          <w:szCs w:val="21"/>
        </w:rPr>
        <w:t>PR-REC-002: Training Completion Record</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Keep modules short and role-specific; long generic courses have low retention.</w:t>
      </w:r>
    </w:p>
    <w:p>
      <w:pPr>
        <w:pStyle w:val="ListBullet"/>
        <w:spacing w:after="40"/>
      </w:pPr>
      <w:r>
        <w:rPr>
          <w:rFonts w:ascii="Calibri" w:hAnsi="Calibri" w:cs="Calibri" w:eastAsia="Calibri"/>
          <w:b w:val="0"/>
          <w:i w:val="0"/>
          <w:sz w:val="21"/>
          <w:szCs w:val="21"/>
        </w:rPr>
        <w:t>Measure reporting rate, not only click rate; reporting is the behavior that stops attacks.</w:t>
      </w:r>
    </w:p>
    <w:p>
      <w:pPr>
        <w:pStyle w:val="ListBullet"/>
        <w:spacing w:after="40"/>
      </w:pPr>
      <w:r>
        <w:rPr>
          <w:rFonts w:ascii="Calibri" w:hAnsi="Calibri" w:cs="Calibri" w:eastAsia="Calibri"/>
          <w:b w:val="0"/>
          <w:i w:val="0"/>
          <w:sz w:val="21"/>
          <w:szCs w:val="21"/>
        </w:rPr>
        <w:t>Use real incidents (anonymized) as teaching material.</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Treating annual click-through training as the whole program.</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PR.AT-01: Personnel are provided with awareness and training for general tasks with cybersecurity risks in mind</w:t>
            </w:r>
          </w:p>
          <w:p>
            <w:r>
              <w:rPr>
                <w:rFonts w:ascii="Calibri" w:hAnsi="Calibri" w:cs="Calibri" w:eastAsia="Calibri"/>
                <w:b w:val="0"/>
                <w:i w:val="0"/>
                <w:sz w:val="18"/>
                <w:szCs w:val="18"/>
              </w:rPr>
              <w:t>PR.AT-02: Individuals in specialized roles are provided with awareness and training for those roles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7.3, Annex A.6.3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AT-1, AT-2, AT-3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Clause 7.3 and Annex A 6.3; PDPC Notification on Security Measures B.E. 2565 (awareness)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GV-POL-001: Information Security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PR-REG-002: Role-Based Training and Skills Matrix</w:t>
            </w:r>
          </w:p>
          <w:p>
            <w:r>
              <w:rPr>
                <w:rFonts w:ascii="Calibri" w:hAnsi="Calibri" w:cs="Calibri" w:eastAsia="Calibri"/>
                <w:b w:val="0"/>
                <w:i w:val="0"/>
                <w:sz w:val="18"/>
                <w:szCs w:val="18"/>
              </w:rPr>
              <w:t>PR-REC-002: Training Completion Record</w:t>
            </w:r>
          </w:p>
          <w:p>
            <w:r>
              <w:rPr>
                <w:rFonts w:ascii="Calibri" w:hAnsi="Calibri" w:cs="Calibri" w:eastAsia="Calibri"/>
                <w:b w:val="0"/>
                <w:i w:val="0"/>
                <w:sz w:val="18"/>
                <w:szCs w:val="18"/>
              </w:rPr>
              <w:t>PR-PRC-004: Phishing Simulation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PR-PLN-001  |  Security Awareness and Training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