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Phishing Simulation Procedure</w:t>
      </w:r>
    </w:p>
    <w:p>
      <w:pPr>
        <w:spacing w:after="80" w:before="0"/>
      </w:pPr>
      <w:r>
        <w:rPr>
          <w:rFonts w:ascii="Calibri" w:hAnsi="Calibri" w:cs="Calibri" w:eastAsia="Calibri"/>
          <w:b w:val="0"/>
          <w:i w:val="0"/>
          <w:color w:val="595959"/>
          <w:sz w:val="18"/>
          <w:szCs w:val="18"/>
        </w:rPr>
        <w:t>PR-PRC-004  |  Procedure  |  Awareness and Training (PR.AT)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PR-PRC-004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Phishing Simulation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13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13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Awareness and Training (PR.AT)</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Optional</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NIST SP 800-50 Rev. 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People (A.6); tags: People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Optional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16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13 May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governs simulated phishing campaigns that measure and improve staff resistance to phishing, while protecting staff privacy and trust.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Rules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rules for running campaigns ethically.</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Campaigns are approved by the Security Manager and HR; executives are informed but not exempt.</w:t>
      </w:r>
    </w:p>
    <w:p>
      <w:pPr>
        <w:pStyle w:val="ListBullet"/>
        <w:spacing w:after="40"/>
      </w:pPr>
      <w:r>
        <w:rPr>
          <w:rFonts w:ascii="Calibri" w:hAnsi="Calibri" w:cs="Calibri" w:eastAsia="Calibri"/>
          <w:b w:val="0"/>
          <w:i w:val="0"/>
          <w:sz w:val="21"/>
          <w:szCs w:val="21"/>
        </w:rPr>
        <w:t>Scenarios reflect real threats but avoid content that causes distress (for example, fake bonuses or health alarms).</w:t>
      </w:r>
    </w:p>
    <w:p>
      <w:pPr>
        <w:pStyle w:val="ListBullet"/>
        <w:spacing w:after="40"/>
      </w:pPr>
      <w:r>
        <w:rPr>
          <w:rFonts w:ascii="Calibri" w:hAnsi="Calibri" w:cs="Calibri" w:eastAsia="Calibri"/>
          <w:b w:val="0"/>
          <w:i w:val="0"/>
          <w:sz w:val="21"/>
          <w:szCs w:val="21"/>
        </w:rPr>
        <w:t>Results are reported in aggregate; individual results are used only for coaching, not punishment, unless repeated after training.</w:t>
      </w:r>
    </w:p>
    <w:p>
      <w:pPr>
        <w:pStyle w:val="ListBullet"/>
        <w:spacing w:after="40"/>
      </w:pPr>
      <w:r>
        <w:rPr>
          <w:rFonts w:ascii="Calibri" w:hAnsi="Calibri" w:cs="Calibri" w:eastAsia="Calibri"/>
          <w:b w:val="0"/>
          <w:i w:val="0"/>
          <w:sz w:val="21"/>
          <w:szCs w:val="21"/>
        </w:rPr>
        <w:t>Users who click receive immediate short training.</w:t>
      </w:r>
    </w:p>
    <w:p>
      <w:pPr>
        <w:pStyle w:val="ListBullet"/>
        <w:spacing w:after="40"/>
      </w:pPr>
      <w:r>
        <w:rPr>
          <w:rFonts w:ascii="Calibri" w:hAnsi="Calibri" w:cs="Calibri" w:eastAsia="Calibri"/>
          <w:b w:val="0"/>
          <w:i w:val="0"/>
          <w:sz w:val="21"/>
          <w:szCs w:val="21"/>
        </w:rPr>
        <w:t>Personal data in results is handled per the employee privacy notice.</w:t>
      </w:r>
    </w:p>
    <w:p>
      <w:pPr>
        <w:pStyle w:val="Heading2"/>
        <w:keepNext/>
        <w:spacing w:before="120" w:after="80"/>
      </w:pPr>
      <w:r>
        <w:rPr>
          <w:rFonts w:ascii="Calibri" w:hAnsi="Calibri" w:cs="Calibri" w:eastAsia="Calibri"/>
          <w:b/>
          <w:i w:val="0"/>
          <w:color w:val="1F3864"/>
          <w:sz w:val="24"/>
          <w:szCs w:val="24"/>
          <w:bCs/>
        </w:rPr>
        <w:t>4.4 Campaign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steps per campaign.</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Plan scenario, audience, and timing; whitelist the simulation platform with the email team and SOC.</w:t>
      </w:r>
    </w:p>
    <w:p>
      <w:pPr>
        <w:pStyle w:val="ListNumber"/>
        <w:spacing w:after="40"/>
      </w:pPr>
      <w:r>
        <w:rPr>
          <w:rFonts w:ascii="Calibri" w:hAnsi="Calibri" w:cs="Calibri" w:eastAsia="Calibri"/>
          <w:b w:val="0"/>
          <w:i w:val="0"/>
          <w:sz w:val="21"/>
          <w:szCs w:val="21"/>
        </w:rPr>
        <w:t>Launch and monitor; pause if it disrupts operations.</w:t>
      </w:r>
    </w:p>
    <w:p>
      <w:pPr>
        <w:pStyle w:val="ListNumber"/>
        <w:spacing w:after="40"/>
      </w:pPr>
      <w:r>
        <w:rPr>
          <w:rFonts w:ascii="Calibri" w:hAnsi="Calibri" w:cs="Calibri" w:eastAsia="Calibri"/>
          <w:b w:val="0"/>
          <w:i w:val="0"/>
          <w:sz w:val="21"/>
          <w:szCs w:val="21"/>
        </w:rPr>
        <w:t>Deliver just-in-time training to clickers.</w:t>
      </w:r>
    </w:p>
    <w:p>
      <w:pPr>
        <w:pStyle w:val="ListNumber"/>
        <w:spacing w:after="40"/>
      </w:pPr>
      <w:r>
        <w:rPr>
          <w:rFonts w:ascii="Calibri" w:hAnsi="Calibri" w:cs="Calibri" w:eastAsia="Calibri"/>
          <w:b w:val="0"/>
          <w:i w:val="0"/>
          <w:sz w:val="21"/>
          <w:szCs w:val="21"/>
        </w:rPr>
        <w:t>Report click, credential entry, and report rates by department.</w:t>
      </w:r>
    </w:p>
    <w:p>
      <w:pPr>
        <w:pStyle w:val="ListNumber"/>
        <w:spacing w:after="40"/>
      </w:pPr>
      <w:r>
        <w:rPr>
          <w:rFonts w:ascii="Calibri" w:hAnsi="Calibri" w:cs="Calibri" w:eastAsia="Calibri"/>
          <w:b w:val="0"/>
          <w:i w:val="0"/>
          <w:sz w:val="21"/>
          <w:szCs w:val="21"/>
        </w:rPr>
        <w:t>Plan targeted training for high-risk groups.</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Avoid running campaigns during clinical or operational peaks.</w:t>
      </w:r>
    </w:p>
    <w:p>
      <w:pPr>
        <w:pStyle w:val="ListBullet"/>
        <w:spacing w:after="40"/>
      </w:pPr>
      <w:r>
        <w:rPr>
          <w:rFonts w:ascii="Calibri" w:hAnsi="Calibri" w:cs="Calibri" w:eastAsia="Calibri"/>
          <w:b w:val="0"/>
          <w:i w:val="0"/>
          <w:sz w:val="21"/>
          <w:szCs w:val="21"/>
        </w:rPr>
        <w:t>Celebrate departments with high report rates.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Publicly naming staff who clicked, which damages trust and reduces reporting.</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PR.AT-01: Personnel are provided with awareness and training for general tasks with cybersecurity risks in mind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A.6.3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AT-2(1)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NIST SP 800-50 Rev. 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PR-PLN-001: Security Awareness and Training Program</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PR-PRC-004  |  Phishing Simulation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