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Training Completion Record</w:t>
      </w:r>
    </w:p>
    <w:p>
      <w:pPr>
        <w:spacing w:after="80" w:before="0"/>
      </w:pPr>
      <w:r>
        <w:rPr>
          <w:rFonts w:ascii="Calibri" w:hAnsi="Calibri" w:cs="Calibri" w:eastAsia="Calibri"/>
          <w:b w:val="0"/>
          <w:i w:val="0"/>
          <w:color w:val="595959"/>
          <w:sz w:val="18"/>
          <w:szCs w:val="18"/>
        </w:rPr>
        <w:t>PR-REC-002  |  Record  |  Awareness and Training (PR.AT)</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PR-REC-002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Training Completion Record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Human Resources Director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 September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Continuous</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 September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Record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Awareness and Training (PR.AT)</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Required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7.2 (documented evidence of competence)</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People (A.6); tags: People,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9 June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Human Resources Director</w:t>
            </w:r>
          </w:p>
        </w:tc>
        <w:tc>
          <w:tcPr>
            <w:tcW w:type="dxa" w:w="1531"/>
          </w:tcPr>
          <w:p>
            <w:r/>
            <w:r>
              <w:rPr>
                <w:rFonts w:ascii="Calibri" w:hAnsi="Calibri" w:cs="Calibri" w:eastAsia="Calibri"/>
                <w:b w:val="0"/>
                <w:i w:val="0"/>
                <w:sz w:val="18"/>
                <w:szCs w:val="18"/>
              </w:rPr>
              <w:t>Security Manager</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 September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Human Resources Director</w:t>
            </w:r>
          </w:p>
        </w:tc>
        <w:tc>
          <w:tcPr>
            <w:tcW w:type="dxa" w:w="1531"/>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record tracks completion of security awareness and role-based training for each person, as evidence for audit and regulators (PR.AT-01; ISO/IEC 27001:2022 Clause 7.2).</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record is used by the units and roles named in its parent document (PR-PLN-001)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Course</w:t>
            </w:r>
          </w:p>
        </w:tc>
        <w:tc>
          <w:tcPr>
            <w:tcW w:type="dxa" w:w="4535"/>
          </w:tcPr>
          <w:p>
            <w:r/>
            <w:r>
              <w:rPr>
                <w:rFonts w:ascii="Calibri" w:hAnsi="Calibri" w:cs="Calibri" w:eastAsia="Calibri"/>
                <w:b w:val="0"/>
                <w:i w:val="0"/>
                <w:sz w:val="18"/>
                <w:szCs w:val="18"/>
              </w:rPr>
              <w:t>Course name and version.</w:t>
            </w:r>
          </w:p>
        </w:tc>
        <w:tc>
          <w:tcPr>
            <w:tcW w:type="dxa" w:w="2551"/>
          </w:tcPr>
          <w:p>
            <w:r/>
          </w:p>
        </w:tc>
      </w:tr>
      <w:tr>
        <w:tc>
          <w:tcPr>
            <w:tcW w:type="dxa" w:w="2268"/>
          </w:tcPr>
          <w:p>
            <w:r/>
            <w:r>
              <w:rPr>
                <w:rFonts w:ascii="Calibri" w:hAnsi="Calibri" w:cs="Calibri" w:eastAsia="Calibri"/>
                <w:b w:val="0"/>
                <w:i w:val="0"/>
                <w:sz w:val="18"/>
                <w:szCs w:val="18"/>
              </w:rPr>
              <w:t>Audience</w:t>
            </w:r>
          </w:p>
        </w:tc>
        <w:tc>
          <w:tcPr>
            <w:tcW w:type="dxa" w:w="4535"/>
          </w:tcPr>
          <w:p>
            <w:r/>
            <w:r>
              <w:rPr>
                <w:rFonts w:ascii="Calibri" w:hAnsi="Calibri" w:cs="Calibri" w:eastAsia="Calibri"/>
                <w:b w:val="0"/>
                <w:i w:val="0"/>
                <w:sz w:val="18"/>
                <w:szCs w:val="18"/>
              </w:rPr>
              <w:t>Target group.</w:t>
            </w:r>
          </w:p>
        </w:tc>
        <w:tc>
          <w:tcPr>
            <w:tcW w:type="dxa" w:w="2551"/>
          </w:tcPr>
          <w:p>
            <w:r/>
          </w:p>
        </w:tc>
      </w:tr>
      <w:tr>
        <w:tc>
          <w:tcPr>
            <w:tcW w:type="dxa" w:w="2268"/>
          </w:tcPr>
          <w:p>
            <w:r/>
            <w:r>
              <w:rPr>
                <w:rFonts w:ascii="Calibri" w:hAnsi="Calibri" w:cs="Calibri" w:eastAsia="Calibri"/>
                <w:b w:val="0"/>
                <w:i w:val="0"/>
                <w:sz w:val="18"/>
                <w:szCs w:val="18"/>
              </w:rPr>
              <w:t>Required</w:t>
            </w:r>
          </w:p>
        </w:tc>
        <w:tc>
          <w:tcPr>
            <w:tcW w:type="dxa" w:w="4535"/>
          </w:tcPr>
          <w:p>
            <w:r/>
            <w:r>
              <w:rPr>
                <w:rFonts w:ascii="Calibri" w:hAnsi="Calibri" w:cs="Calibri" w:eastAsia="Calibri"/>
                <w:b w:val="0"/>
                <w:i w:val="0"/>
                <w:sz w:val="18"/>
                <w:szCs w:val="18"/>
              </w:rPr>
              <w:t>Number of people.</w:t>
            </w:r>
          </w:p>
        </w:tc>
        <w:tc>
          <w:tcPr>
            <w:tcW w:type="dxa" w:w="2551"/>
          </w:tcPr>
          <w:p>
            <w:r/>
          </w:p>
        </w:tc>
      </w:tr>
      <w:tr>
        <w:tc>
          <w:tcPr>
            <w:tcW w:type="dxa" w:w="2268"/>
          </w:tcPr>
          <w:p>
            <w:r/>
            <w:r>
              <w:rPr>
                <w:rFonts w:ascii="Calibri" w:hAnsi="Calibri" w:cs="Calibri" w:eastAsia="Calibri"/>
                <w:b w:val="0"/>
                <w:i w:val="0"/>
                <w:sz w:val="18"/>
                <w:szCs w:val="18"/>
              </w:rPr>
              <w:t>Completed</w:t>
            </w:r>
          </w:p>
        </w:tc>
        <w:tc>
          <w:tcPr>
            <w:tcW w:type="dxa" w:w="4535"/>
          </w:tcPr>
          <w:p>
            <w:r/>
            <w:r>
              <w:rPr>
                <w:rFonts w:ascii="Calibri" w:hAnsi="Calibri" w:cs="Calibri" w:eastAsia="Calibri"/>
                <w:b w:val="0"/>
                <w:i w:val="0"/>
                <w:sz w:val="18"/>
                <w:szCs w:val="18"/>
              </w:rPr>
              <w:t>Number completed.</w:t>
            </w:r>
          </w:p>
        </w:tc>
        <w:tc>
          <w:tcPr>
            <w:tcW w:type="dxa" w:w="2551"/>
          </w:tcPr>
          <w:p>
            <w:r/>
          </w:p>
        </w:tc>
      </w:tr>
      <w:tr>
        <w:tc>
          <w:tcPr>
            <w:tcW w:type="dxa" w:w="2268"/>
          </w:tcPr>
          <w:p>
            <w:r/>
            <w:r>
              <w:rPr>
                <w:rFonts w:ascii="Calibri" w:hAnsi="Calibri" w:cs="Calibri" w:eastAsia="Calibri"/>
                <w:b w:val="0"/>
                <w:i w:val="0"/>
                <w:sz w:val="18"/>
                <w:szCs w:val="18"/>
              </w:rPr>
              <w:t>Completion rate</w:t>
            </w:r>
          </w:p>
        </w:tc>
        <w:tc>
          <w:tcPr>
            <w:tcW w:type="dxa" w:w="4535"/>
          </w:tcPr>
          <w:p>
            <w:r/>
            <w:r>
              <w:rPr>
                <w:rFonts w:ascii="Calibri" w:hAnsi="Calibri" w:cs="Calibri" w:eastAsia="Calibri"/>
                <w:b w:val="0"/>
                <w:i w:val="0"/>
                <w:sz w:val="18"/>
                <w:szCs w:val="18"/>
              </w:rPr>
              <w:t>Percentage.</w:t>
            </w:r>
          </w:p>
        </w:tc>
        <w:tc>
          <w:tcPr>
            <w:tcW w:type="dxa" w:w="2551"/>
          </w:tcPr>
          <w:p>
            <w:r/>
          </w:p>
        </w:tc>
      </w:tr>
      <w:tr>
        <w:tc>
          <w:tcPr>
            <w:tcW w:type="dxa" w:w="2268"/>
          </w:tcPr>
          <w:p>
            <w:r/>
            <w:r>
              <w:rPr>
                <w:rFonts w:ascii="Calibri" w:hAnsi="Calibri" w:cs="Calibri" w:eastAsia="Calibri"/>
                <w:b w:val="0"/>
                <w:i w:val="0"/>
                <w:sz w:val="18"/>
                <w:szCs w:val="18"/>
              </w:rPr>
              <w:t>Pass rate</w:t>
            </w:r>
          </w:p>
        </w:tc>
        <w:tc>
          <w:tcPr>
            <w:tcW w:type="dxa" w:w="4535"/>
          </w:tcPr>
          <w:p>
            <w:r/>
            <w:r>
              <w:rPr>
                <w:rFonts w:ascii="Calibri" w:hAnsi="Calibri" w:cs="Calibri" w:eastAsia="Calibri"/>
                <w:b w:val="0"/>
                <w:i w:val="0"/>
                <w:sz w:val="18"/>
                <w:szCs w:val="18"/>
              </w:rPr>
              <w:t>Quiz pass percentage.</w:t>
            </w:r>
          </w:p>
        </w:tc>
        <w:tc>
          <w:tcPr>
            <w:tcW w:type="dxa" w:w="2551"/>
          </w:tcPr>
          <w:p>
            <w:r/>
          </w:p>
        </w:tc>
      </w:tr>
      <w:tr>
        <w:tc>
          <w:tcPr>
            <w:tcW w:type="dxa" w:w="2268"/>
          </w:tcPr>
          <w:p>
            <w:r/>
            <w:r>
              <w:rPr>
                <w:rFonts w:ascii="Calibri" w:hAnsi="Calibri" w:cs="Calibri" w:eastAsia="Calibri"/>
                <w:b w:val="0"/>
                <w:i w:val="0"/>
                <w:sz w:val="18"/>
                <w:szCs w:val="18"/>
              </w:rPr>
              <w:t>Period</w:t>
            </w:r>
          </w:p>
        </w:tc>
        <w:tc>
          <w:tcPr>
            <w:tcW w:type="dxa" w:w="4535"/>
          </w:tcPr>
          <w:p>
            <w:r/>
            <w:r>
              <w:rPr>
                <w:rFonts w:ascii="Calibri" w:hAnsi="Calibri" w:cs="Calibri" w:eastAsia="Calibri"/>
                <w:b w:val="0"/>
                <w:i w:val="0"/>
                <w:sz w:val="18"/>
                <w:szCs w:val="18"/>
              </w:rPr>
              <w:t>Reporting period.</w:t>
            </w:r>
          </w:p>
        </w:tc>
        <w:tc>
          <w:tcPr>
            <w:tcW w:type="dxa" w:w="2551"/>
          </w:tcPr>
          <w:p>
            <w:r/>
          </w:p>
        </w:tc>
      </w:tr>
    </w:tbl>
    <w:p>
      <w:pPr>
        <w:spacing w:after="40"/>
      </w:pPr>
    </w:p>
    <w:p>
      <w:pPr>
        <w:sectPr>
          <w:headerReference w:type="default" r:id="rId9"/>
          <w:footerReference w:type="default" r:id="rId10"/>
          <w:pgSz w:w="11906" w:h="16838"/>
          <w:pgMar w:top="1134" w:right="1247" w:bottom="1020" w:left="1247"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jc w:val="center"/>
        <w:tblLayout w:type="fixed"/>
        <w:tblLook w:firstColumn="1" w:firstRow="1" w:lastColumn="0" w:lastRow="0" w:noHBand="0" w:noVBand="1" w:val="04A0"/>
        <w:tblLayout w:type="fixed"/>
      </w:tblPr>
      <w:tblGrid>
        <w:gridCol w:w="2162"/>
        <w:gridCol w:w="2162"/>
        <w:gridCol w:w="2162"/>
        <w:gridCol w:w="2162"/>
        <w:gridCol w:w="2162"/>
        <w:gridCol w:w="2162"/>
        <w:gridCol w:w="2162"/>
      </w:tblGrid>
      <w:tr>
        <w:trPr>
          <w:tblHeader w:val="true"/>
        </w:trPr>
        <w:tc>
          <w:tcPr>
            <w:tcW w:type="dxa" w:w="2162"/>
            <w:shd w:val="clear" w:color="auto" w:fill="1F3864"/>
          </w:tcPr>
          <w:p>
            <w:r/>
            <w:r>
              <w:rPr>
                <w:rFonts w:ascii="Calibri" w:hAnsi="Calibri" w:cs="Calibri" w:eastAsia="Calibri"/>
                <w:b/>
                <w:i w:val="0"/>
                <w:color w:val="FFFFFF"/>
                <w:sz w:val="16"/>
                <w:szCs w:val="16"/>
                <w:bCs/>
              </w:rPr>
              <w:t>Course</w:t>
            </w:r>
          </w:p>
        </w:tc>
        <w:tc>
          <w:tcPr>
            <w:tcW w:type="dxa" w:w="2162"/>
            <w:shd w:val="clear" w:color="auto" w:fill="1F3864"/>
          </w:tcPr>
          <w:p>
            <w:r/>
            <w:r>
              <w:rPr>
                <w:rFonts w:ascii="Calibri" w:hAnsi="Calibri" w:cs="Calibri" w:eastAsia="Calibri"/>
                <w:b/>
                <w:i w:val="0"/>
                <w:color w:val="FFFFFF"/>
                <w:sz w:val="16"/>
                <w:szCs w:val="16"/>
                <w:bCs/>
              </w:rPr>
              <w:t>Audience</w:t>
            </w:r>
          </w:p>
        </w:tc>
        <w:tc>
          <w:tcPr>
            <w:tcW w:type="dxa" w:w="2162"/>
            <w:shd w:val="clear" w:color="auto" w:fill="1F3864"/>
          </w:tcPr>
          <w:p>
            <w:r/>
            <w:r>
              <w:rPr>
                <w:rFonts w:ascii="Calibri" w:hAnsi="Calibri" w:cs="Calibri" w:eastAsia="Calibri"/>
                <w:b/>
                <w:i w:val="0"/>
                <w:color w:val="FFFFFF"/>
                <w:sz w:val="16"/>
                <w:szCs w:val="16"/>
                <w:bCs/>
              </w:rPr>
              <w:t>Required</w:t>
            </w:r>
          </w:p>
        </w:tc>
        <w:tc>
          <w:tcPr>
            <w:tcW w:type="dxa" w:w="2162"/>
            <w:shd w:val="clear" w:color="auto" w:fill="1F3864"/>
          </w:tcPr>
          <w:p>
            <w:r/>
            <w:r>
              <w:rPr>
                <w:rFonts w:ascii="Calibri" w:hAnsi="Calibri" w:cs="Calibri" w:eastAsia="Calibri"/>
                <w:b/>
                <w:i w:val="0"/>
                <w:color w:val="FFFFFF"/>
                <w:sz w:val="16"/>
                <w:szCs w:val="16"/>
                <w:bCs/>
              </w:rPr>
              <w:t>Completed</w:t>
            </w:r>
          </w:p>
        </w:tc>
        <w:tc>
          <w:tcPr>
            <w:tcW w:type="dxa" w:w="2162"/>
            <w:shd w:val="clear" w:color="auto" w:fill="1F3864"/>
          </w:tcPr>
          <w:p>
            <w:r/>
            <w:r>
              <w:rPr>
                <w:rFonts w:ascii="Calibri" w:hAnsi="Calibri" w:cs="Calibri" w:eastAsia="Calibri"/>
                <w:b/>
                <w:i w:val="0"/>
                <w:color w:val="FFFFFF"/>
                <w:sz w:val="16"/>
                <w:szCs w:val="16"/>
                <w:bCs/>
              </w:rPr>
              <w:t>Completion rate</w:t>
            </w:r>
          </w:p>
        </w:tc>
        <w:tc>
          <w:tcPr>
            <w:tcW w:type="dxa" w:w="2162"/>
            <w:shd w:val="clear" w:color="auto" w:fill="1F3864"/>
          </w:tcPr>
          <w:p>
            <w:r/>
            <w:r>
              <w:rPr>
                <w:rFonts w:ascii="Calibri" w:hAnsi="Calibri" w:cs="Calibri" w:eastAsia="Calibri"/>
                <w:b/>
                <w:i w:val="0"/>
                <w:color w:val="FFFFFF"/>
                <w:sz w:val="16"/>
                <w:szCs w:val="16"/>
                <w:bCs/>
              </w:rPr>
              <w:t>Pass rate</w:t>
            </w:r>
          </w:p>
        </w:tc>
        <w:tc>
          <w:tcPr>
            <w:tcW w:type="dxa" w:w="2162"/>
            <w:shd w:val="clear" w:color="auto" w:fill="1F3864"/>
          </w:tcPr>
          <w:p>
            <w:r/>
            <w:r>
              <w:rPr>
                <w:rFonts w:ascii="Calibri" w:hAnsi="Calibri" w:cs="Calibri" w:eastAsia="Calibri"/>
                <w:b/>
                <w:i w:val="0"/>
                <w:color w:val="FFFFFF"/>
                <w:sz w:val="16"/>
                <w:szCs w:val="16"/>
                <w:bCs/>
              </w:rPr>
              <w:t>Period</w:t>
            </w:r>
          </w:p>
        </w:tc>
      </w:tr>
      <w:tr>
        <w:tc>
          <w:tcPr>
            <w:tcW w:type="dxa" w:w="2162"/>
          </w:tcPr>
          <w:p>
            <w:r/>
            <w:r>
              <w:rPr>
                <w:rFonts w:ascii="Calibri" w:hAnsi="Calibri" w:cs="Calibri" w:eastAsia="Calibri"/>
                <w:b w:val="0"/>
                <w:i w:val="0"/>
                <w:sz w:val="16"/>
                <w:szCs w:val="16"/>
              </w:rPr>
              <w:t>Security and Privacy Essentials 2026</w:t>
            </w:r>
          </w:p>
        </w:tc>
        <w:tc>
          <w:tcPr>
            <w:tcW w:type="dxa" w:w="2162"/>
          </w:tcPr>
          <w:p>
            <w:r/>
            <w:r>
              <w:rPr>
                <w:rFonts w:ascii="Calibri" w:hAnsi="Calibri" w:cs="Calibri" w:eastAsia="Calibri"/>
                <w:b w:val="0"/>
                <w:i w:val="0"/>
                <w:sz w:val="16"/>
                <w:szCs w:val="16"/>
              </w:rPr>
              <w:t>All staff</w:t>
            </w:r>
          </w:p>
        </w:tc>
        <w:tc>
          <w:tcPr>
            <w:tcW w:type="dxa" w:w="2162"/>
          </w:tcPr>
          <w:p>
            <w:r/>
            <w:r>
              <w:rPr>
                <w:rFonts w:ascii="Calibri" w:hAnsi="Calibri" w:cs="Calibri" w:eastAsia="Calibri"/>
                <w:b w:val="0"/>
                <w:i w:val="0"/>
                <w:sz w:val="16"/>
                <w:szCs w:val="16"/>
              </w:rPr>
              <w:t>1,214</w:t>
            </w:r>
          </w:p>
        </w:tc>
        <w:tc>
          <w:tcPr>
            <w:tcW w:type="dxa" w:w="2162"/>
          </w:tcPr>
          <w:p>
            <w:r/>
            <w:r>
              <w:rPr>
                <w:rFonts w:ascii="Calibri" w:hAnsi="Calibri" w:cs="Calibri" w:eastAsia="Calibri"/>
                <w:b w:val="0"/>
                <w:i w:val="0"/>
                <w:sz w:val="16"/>
                <w:szCs w:val="16"/>
              </w:rPr>
              <w:t>1,105</w:t>
            </w:r>
          </w:p>
        </w:tc>
        <w:tc>
          <w:tcPr>
            <w:tcW w:type="dxa" w:w="2162"/>
          </w:tcPr>
          <w:p>
            <w:r/>
            <w:r>
              <w:rPr>
                <w:rFonts w:ascii="Calibri" w:hAnsi="Calibri" w:cs="Calibri" w:eastAsia="Calibri"/>
                <w:b w:val="0"/>
                <w:i w:val="0"/>
                <w:sz w:val="16"/>
                <w:szCs w:val="16"/>
              </w:rPr>
              <w:t>91%</w:t>
            </w:r>
          </w:p>
        </w:tc>
        <w:tc>
          <w:tcPr>
            <w:tcW w:type="dxa" w:w="2162"/>
          </w:tcPr>
          <w:p>
            <w:r/>
            <w:r>
              <w:rPr>
                <w:rFonts w:ascii="Calibri" w:hAnsi="Calibri" w:cs="Calibri" w:eastAsia="Calibri"/>
                <w:b w:val="0"/>
                <w:i w:val="0"/>
                <w:sz w:val="16"/>
                <w:szCs w:val="16"/>
              </w:rPr>
              <w:t>88%</w:t>
            </w:r>
          </w:p>
        </w:tc>
        <w:tc>
          <w:tcPr>
            <w:tcW w:type="dxa" w:w="2162"/>
          </w:tcPr>
          <w:p>
            <w:r/>
            <w:r>
              <w:rPr>
                <w:rFonts w:ascii="Calibri" w:hAnsi="Calibri" w:cs="Calibri" w:eastAsia="Calibri"/>
                <w:b w:val="0"/>
                <w:i w:val="0"/>
                <w:sz w:val="16"/>
                <w:szCs w:val="16"/>
              </w:rPr>
              <w:t>01/2026 to 09/2026</w:t>
            </w:r>
          </w:p>
        </w:tc>
      </w:tr>
      <w:tr>
        <w:tc>
          <w:tcPr>
            <w:tcW w:type="dxa" w:w="2162"/>
          </w:tcPr>
          <w:p>
            <w:r/>
            <w:r>
              <w:rPr>
                <w:rFonts w:ascii="Calibri" w:hAnsi="Calibri" w:cs="Calibri" w:eastAsia="Calibri"/>
                <w:b w:val="0"/>
                <w:i w:val="0"/>
                <w:sz w:val="16"/>
                <w:szCs w:val="16"/>
              </w:rPr>
              <w:t>Patient Privacy for Clinicians 2026</w:t>
            </w:r>
          </w:p>
        </w:tc>
        <w:tc>
          <w:tcPr>
            <w:tcW w:type="dxa" w:w="2162"/>
          </w:tcPr>
          <w:p>
            <w:r/>
            <w:r>
              <w:rPr>
                <w:rFonts w:ascii="Calibri" w:hAnsi="Calibri" w:cs="Calibri" w:eastAsia="Calibri"/>
                <w:b w:val="0"/>
                <w:i w:val="0"/>
                <w:sz w:val="16"/>
                <w:szCs w:val="16"/>
              </w:rPr>
              <w:t>Physicians and nurses</w:t>
            </w:r>
          </w:p>
        </w:tc>
        <w:tc>
          <w:tcPr>
            <w:tcW w:type="dxa" w:w="2162"/>
          </w:tcPr>
          <w:p>
            <w:r/>
            <w:r>
              <w:rPr>
                <w:rFonts w:ascii="Calibri" w:hAnsi="Calibri" w:cs="Calibri" w:eastAsia="Calibri"/>
                <w:b w:val="0"/>
                <w:i w:val="0"/>
                <w:sz w:val="16"/>
                <w:szCs w:val="16"/>
              </w:rPr>
              <w:t>742</w:t>
            </w:r>
          </w:p>
        </w:tc>
        <w:tc>
          <w:tcPr>
            <w:tcW w:type="dxa" w:w="2162"/>
          </w:tcPr>
          <w:p>
            <w:r/>
            <w:r>
              <w:rPr>
                <w:rFonts w:ascii="Calibri" w:hAnsi="Calibri" w:cs="Calibri" w:eastAsia="Calibri"/>
                <w:b w:val="0"/>
                <w:i w:val="0"/>
                <w:sz w:val="16"/>
                <w:szCs w:val="16"/>
              </w:rPr>
              <w:t>698</w:t>
            </w:r>
          </w:p>
        </w:tc>
        <w:tc>
          <w:tcPr>
            <w:tcW w:type="dxa" w:w="2162"/>
          </w:tcPr>
          <w:p>
            <w:r/>
            <w:r>
              <w:rPr>
                <w:rFonts w:ascii="Calibri" w:hAnsi="Calibri" w:cs="Calibri" w:eastAsia="Calibri"/>
                <w:b w:val="0"/>
                <w:i w:val="0"/>
                <w:sz w:val="16"/>
                <w:szCs w:val="16"/>
              </w:rPr>
              <w:t>94%</w:t>
            </w:r>
          </w:p>
        </w:tc>
        <w:tc>
          <w:tcPr>
            <w:tcW w:type="dxa" w:w="2162"/>
          </w:tcPr>
          <w:p>
            <w:r/>
            <w:r>
              <w:rPr>
                <w:rFonts w:ascii="Calibri" w:hAnsi="Calibri" w:cs="Calibri" w:eastAsia="Calibri"/>
                <w:b w:val="0"/>
                <w:i w:val="0"/>
                <w:sz w:val="16"/>
                <w:szCs w:val="16"/>
              </w:rPr>
              <w:t>92%</w:t>
            </w:r>
          </w:p>
        </w:tc>
        <w:tc>
          <w:tcPr>
            <w:tcW w:type="dxa" w:w="2162"/>
          </w:tcPr>
          <w:p>
            <w:r/>
            <w:r>
              <w:rPr>
                <w:rFonts w:ascii="Calibri" w:hAnsi="Calibri" w:cs="Calibri" w:eastAsia="Calibri"/>
                <w:b w:val="0"/>
                <w:i w:val="0"/>
                <w:sz w:val="16"/>
                <w:szCs w:val="16"/>
              </w:rPr>
              <w:t>01/2026 to 09/2026</w:t>
            </w:r>
          </w:p>
        </w:tc>
      </w:tr>
      <w:tr>
        <w:tc>
          <w:tcPr>
            <w:tcW w:type="dxa" w:w="2162"/>
          </w:tcPr>
          <w:p>
            <w:r/>
            <w:r>
              <w:rPr>
                <w:rFonts w:ascii="Calibri" w:hAnsi="Calibri" w:cs="Calibri" w:eastAsia="Calibri"/>
                <w:b w:val="0"/>
                <w:i w:val="0"/>
                <w:sz w:val="16"/>
                <w:szCs w:val="16"/>
              </w:rPr>
              <w:t>Invoice Fraud Awareness</w:t>
            </w:r>
          </w:p>
        </w:tc>
        <w:tc>
          <w:tcPr>
            <w:tcW w:type="dxa" w:w="2162"/>
          </w:tcPr>
          <w:p>
            <w:r/>
            <w:r>
              <w:rPr>
                <w:rFonts w:ascii="Calibri" w:hAnsi="Calibri" w:cs="Calibri" w:eastAsia="Calibri"/>
                <w:b w:val="0"/>
                <w:i w:val="0"/>
                <w:sz w:val="16"/>
                <w:szCs w:val="16"/>
              </w:rPr>
              <w:t>Finance and procurement</w:t>
            </w:r>
          </w:p>
        </w:tc>
        <w:tc>
          <w:tcPr>
            <w:tcW w:type="dxa" w:w="2162"/>
          </w:tcPr>
          <w:p>
            <w:r/>
            <w:r>
              <w:rPr>
                <w:rFonts w:ascii="Calibri" w:hAnsi="Calibri" w:cs="Calibri" w:eastAsia="Calibri"/>
                <w:b w:val="0"/>
                <w:i w:val="0"/>
                <w:sz w:val="16"/>
                <w:szCs w:val="16"/>
              </w:rPr>
              <w:t>46</w:t>
            </w:r>
          </w:p>
        </w:tc>
        <w:tc>
          <w:tcPr>
            <w:tcW w:type="dxa" w:w="2162"/>
          </w:tcPr>
          <w:p>
            <w:r/>
            <w:r>
              <w:rPr>
                <w:rFonts w:ascii="Calibri" w:hAnsi="Calibri" w:cs="Calibri" w:eastAsia="Calibri"/>
                <w:b w:val="0"/>
                <w:i w:val="0"/>
                <w:sz w:val="16"/>
                <w:szCs w:val="16"/>
              </w:rPr>
              <w:t>46</w:t>
            </w:r>
          </w:p>
        </w:tc>
        <w:tc>
          <w:tcPr>
            <w:tcW w:type="dxa" w:w="2162"/>
          </w:tcPr>
          <w:p>
            <w:r/>
            <w:r>
              <w:rPr>
                <w:rFonts w:ascii="Calibri" w:hAnsi="Calibri" w:cs="Calibri" w:eastAsia="Calibri"/>
                <w:b w:val="0"/>
                <w:i w:val="0"/>
                <w:sz w:val="16"/>
                <w:szCs w:val="16"/>
              </w:rPr>
              <w:t>100%</w:t>
            </w:r>
          </w:p>
        </w:tc>
        <w:tc>
          <w:tcPr>
            <w:tcW w:type="dxa" w:w="2162"/>
          </w:tcPr>
          <w:p>
            <w:r/>
            <w:r>
              <w:rPr>
                <w:rFonts w:ascii="Calibri" w:hAnsi="Calibri" w:cs="Calibri" w:eastAsia="Calibri"/>
                <w:b w:val="0"/>
                <w:i w:val="0"/>
                <w:sz w:val="16"/>
                <w:szCs w:val="16"/>
              </w:rPr>
              <w:t>96%</w:t>
            </w:r>
          </w:p>
        </w:tc>
        <w:tc>
          <w:tcPr>
            <w:tcW w:type="dxa" w:w="2162"/>
          </w:tcPr>
          <w:p>
            <w:r/>
            <w:r>
              <w:rPr>
                <w:rFonts w:ascii="Calibri" w:hAnsi="Calibri" w:cs="Calibri" w:eastAsia="Calibri"/>
                <w:b w:val="0"/>
                <w:i w:val="0"/>
                <w:sz w:val="16"/>
                <w:szCs w:val="16"/>
              </w:rPr>
              <w:t>07/2026</w:t>
            </w:r>
          </w:p>
        </w:tc>
      </w:tr>
      <w:tr>
        <w:tc>
          <w:tcPr>
            <w:tcW w:type="dxa" w:w="2162"/>
          </w:tcPr>
          <w:p>
            <w:r/>
            <w:r>
              <w:rPr>
                <w:rFonts w:ascii="Calibri" w:hAnsi="Calibri" w:cs="Calibri" w:eastAsia="Calibri"/>
                <w:b w:val="0"/>
                <w:i w:val="0"/>
                <w:sz w:val="16"/>
                <w:szCs w:val="16"/>
              </w:rPr>
              <w:t>Ransomware Tabletop EX-2026-01</w:t>
            </w:r>
          </w:p>
        </w:tc>
        <w:tc>
          <w:tcPr>
            <w:tcW w:type="dxa" w:w="2162"/>
          </w:tcPr>
          <w:p>
            <w:r/>
            <w:r>
              <w:rPr>
                <w:rFonts w:ascii="Calibri" w:hAnsi="Calibri" w:cs="Calibri" w:eastAsia="Calibri"/>
                <w:b w:val="0"/>
                <w:i w:val="0"/>
                <w:sz w:val="16"/>
                <w:szCs w:val="16"/>
              </w:rPr>
              <w:t>ISSC and ward heads</w:t>
            </w:r>
          </w:p>
        </w:tc>
        <w:tc>
          <w:tcPr>
            <w:tcW w:type="dxa" w:w="2162"/>
          </w:tcPr>
          <w:p>
            <w:r/>
            <w:r>
              <w:rPr>
                <w:rFonts w:ascii="Calibri" w:hAnsi="Calibri" w:cs="Calibri" w:eastAsia="Calibri"/>
                <w:b w:val="0"/>
                <w:i w:val="0"/>
                <w:sz w:val="16"/>
                <w:szCs w:val="16"/>
              </w:rPr>
              <w:t>22</w:t>
            </w:r>
          </w:p>
        </w:tc>
        <w:tc>
          <w:tcPr>
            <w:tcW w:type="dxa" w:w="2162"/>
          </w:tcPr>
          <w:p>
            <w:r/>
            <w:r>
              <w:rPr>
                <w:rFonts w:ascii="Calibri" w:hAnsi="Calibri" w:cs="Calibri" w:eastAsia="Calibri"/>
                <w:b w:val="0"/>
                <w:i w:val="0"/>
                <w:sz w:val="16"/>
                <w:szCs w:val="16"/>
              </w:rPr>
              <w:t>20</w:t>
            </w:r>
          </w:p>
        </w:tc>
        <w:tc>
          <w:tcPr>
            <w:tcW w:type="dxa" w:w="2162"/>
          </w:tcPr>
          <w:p>
            <w:r/>
            <w:r>
              <w:rPr>
                <w:rFonts w:ascii="Calibri" w:hAnsi="Calibri" w:cs="Calibri" w:eastAsia="Calibri"/>
                <w:b w:val="0"/>
                <w:i w:val="0"/>
                <w:sz w:val="16"/>
                <w:szCs w:val="16"/>
              </w:rPr>
              <w:t>91%</w:t>
            </w:r>
          </w:p>
        </w:tc>
        <w:tc>
          <w:tcPr>
            <w:tcW w:type="dxa" w:w="2162"/>
          </w:tcPr>
          <w:p>
            <w:r/>
            <w:r>
              <w:rPr>
                <w:rFonts w:ascii="Calibri" w:hAnsi="Calibri" w:cs="Calibri" w:eastAsia="Calibri"/>
                <w:b w:val="0"/>
                <w:i w:val="0"/>
                <w:sz w:val="16"/>
                <w:szCs w:val="16"/>
              </w:rPr>
              <w:t>Not applicable</w:t>
            </w:r>
          </w:p>
        </w:tc>
        <w:tc>
          <w:tcPr>
            <w:tcW w:type="dxa" w:w="2162"/>
          </w:tcPr>
          <w:p>
            <w:r/>
            <w:r>
              <w:rPr>
                <w:rFonts w:ascii="Calibri" w:hAnsi="Calibri" w:cs="Calibri" w:eastAsia="Calibri"/>
                <w:b w:val="0"/>
                <w:i w:val="0"/>
                <w:sz w:val="16"/>
                <w:szCs w:val="16"/>
              </w:rPr>
              <w:t>02/2026</w:t>
            </w:r>
          </w:p>
        </w:tc>
      </w:tr>
    </w:tbl>
    <w:p>
      <w:pPr>
        <w:spacing w:after="40"/>
      </w:pPr>
    </w:p>
    <w:p>
      <w:pPr>
        <w:sectPr>
          <w:pgSz w:w="16838" w:h="11906" w:orient="landscape"/>
          <w:pgMar w:top="1134" w:right="850" w:bottom="1020" w:left="850" w:header="720" w:footer="720" w:gutter="0"/>
          <w:cols w:space="720"/>
          <w:docGrid w:linePitch="360"/>
        </w:sectPr>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Export completion data from the learning system monthly and follow up with managers of non-completers.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No individual records, only attendance sheets that cannot prove who completed what.</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PR.AT-01: Personnel are provided with awareness and training for general tasks with cybersecurity risks in mind</w:t>
            </w:r>
          </w:p>
          <w:p>
            <w:r>
              <w:rPr>
                <w:rFonts w:ascii="Calibri" w:hAnsi="Calibri" w:cs="Calibri" w:eastAsia="Calibri"/>
                <w:b w:val="0"/>
                <w:i w:val="0"/>
                <w:sz w:val="18"/>
                <w:szCs w:val="18"/>
              </w:rPr>
              <w:t>PR.AT-02: Individuals in specialized roles are provided with awareness and training for those roles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7.2, Annex A.6.3</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AT-4</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7.2 (documented evidence of competence)</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PR-PLN-001: Security Awareness and Training Program</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PR-REC-002  |  Training Completion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