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Role-Based Training and Skills Matrix</w:t>
      </w:r>
    </w:p>
    <w:p>
      <w:pPr>
        <w:spacing w:after="80" w:before="0"/>
      </w:pPr>
      <w:r>
        <w:rPr>
          <w:rFonts w:ascii="Calibri" w:hAnsi="Calibri" w:cs="Calibri" w:eastAsia="Calibri"/>
          <w:b w:val="0"/>
          <w:i w:val="0"/>
          <w:color w:val="595959"/>
          <w:sz w:val="18"/>
          <w:szCs w:val="18"/>
        </w:rPr>
        <w:t>PR-REG-002  |  Register  |  Awareness and Training (PR.AT)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PR-REG-002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Role-Based Training and Skills Matrix</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Human Resources Director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18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18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Awareness and Training (PR.AT)</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7.2 (documented evidence of competence)</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People,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Human Resources Director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18 June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Human Resources Director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matrix records the security competencies required for each specialized role, the current level of each person, and planned training, as evidence of competence (PR.AT-02; ISO/IEC 27001:2022 Clause 7.2).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(PR-PLN-001)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Person or role</w:t>
            </w:r>
          </w:p>
        </w:tc>
        <w:tc>
          <w:tcPr>
            <w:tcW w:type="dxa" w:w="4535"/>
          </w:tcPr>
          <w:p>
            <w:r/>
            <w:r>
              <w:rPr>
                <w:rFonts w:ascii="Calibri" w:hAnsi="Calibri" w:cs="Calibri" w:eastAsia="Calibri"/>
                <w:b w:val="0"/>
                <w:i w:val="0"/>
                <w:sz w:val="18"/>
                <w:szCs w:val="18"/>
              </w:rPr>
              <w:t>Name or role.</w:t>
            </w:r>
          </w:p>
        </w:tc>
        <w:tc>
          <w:tcPr>
            <w:tcW w:type="dxa" w:w="2551"/>
          </w:tcPr>
          <w:p>
            <w:r/>
          </w:p>
        </w:tc>
      </w:tr>
      <w:tr>
        <w:tc>
          <w:tcPr>
            <w:tcW w:type="dxa" w:w="2268"/>
          </w:tcPr>
          <w:p>
            <w:r/>
            <w:r>
              <w:rPr>
                <w:rFonts w:ascii="Calibri" w:hAnsi="Calibri" w:cs="Calibri" w:eastAsia="Calibri"/>
                <w:b w:val="0"/>
                <w:i w:val="0"/>
                <w:sz w:val="18"/>
                <w:szCs w:val="18"/>
              </w:rPr>
              <w:t>Competency</w:t>
            </w:r>
          </w:p>
        </w:tc>
        <w:tc>
          <w:tcPr>
            <w:tcW w:type="dxa" w:w="4535"/>
          </w:tcPr>
          <w:p>
            <w:r/>
            <w:r>
              <w:rPr>
                <w:rFonts w:ascii="Calibri" w:hAnsi="Calibri" w:cs="Calibri" w:eastAsia="Calibri"/>
                <w:b w:val="0"/>
                <w:i w:val="0"/>
                <w:sz w:val="18"/>
                <w:szCs w:val="18"/>
              </w:rPr>
              <w:t>Skill area.</w:t>
            </w:r>
          </w:p>
        </w:tc>
        <w:tc>
          <w:tcPr>
            <w:tcW w:type="dxa" w:w="2551"/>
          </w:tcPr>
          <w:p>
            <w:r/>
            <w:r>
              <w:rPr>
                <w:rFonts w:ascii="Calibri" w:hAnsi="Calibri" w:cs="Calibri" w:eastAsia="Calibri"/>
                <w:b w:val="0"/>
                <w:i w:val="0"/>
                <w:sz w:val="18"/>
                <w:szCs w:val="18"/>
              </w:rPr>
              <w:t>Incident handling</w:t>
            </w:r>
          </w:p>
        </w:tc>
      </w:tr>
      <w:tr>
        <w:tc>
          <w:tcPr>
            <w:tcW w:type="dxa" w:w="2268"/>
          </w:tcPr>
          <w:p>
            <w:r/>
            <w:r>
              <w:rPr>
                <w:rFonts w:ascii="Calibri" w:hAnsi="Calibri" w:cs="Calibri" w:eastAsia="Calibri"/>
                <w:b w:val="0"/>
                <w:i w:val="0"/>
                <w:sz w:val="18"/>
                <w:szCs w:val="18"/>
              </w:rPr>
              <w:t>Required level (1 to 4)</w:t>
            </w:r>
          </w:p>
        </w:tc>
        <w:tc>
          <w:tcPr>
            <w:tcW w:type="dxa" w:w="4535"/>
          </w:tcPr>
          <w:p>
            <w:r/>
            <w:r>
              <w:rPr>
                <w:rFonts w:ascii="Calibri" w:hAnsi="Calibri" w:cs="Calibri" w:eastAsia="Calibri"/>
                <w:b w:val="0"/>
                <w:i w:val="0"/>
                <w:sz w:val="18"/>
                <w:szCs w:val="18"/>
              </w:rPr>
              <w:t>1 Awareness, 2 Practitioner, 3 Advanced, 4 Expert.</w:t>
            </w:r>
          </w:p>
        </w:tc>
        <w:tc>
          <w:tcPr>
            <w:tcW w:type="dxa" w:w="2551"/>
          </w:tcPr>
          <w:p>
            <w:r/>
            <w:r>
              <w:rPr>
                <w:rFonts w:ascii="Calibri" w:hAnsi="Calibri" w:cs="Calibri" w:eastAsia="Calibri"/>
                <w:b w:val="0"/>
                <w:i w:val="0"/>
                <w:sz w:val="18"/>
                <w:szCs w:val="18"/>
              </w:rPr>
              <w:t>3</w:t>
            </w:r>
          </w:p>
        </w:tc>
      </w:tr>
      <w:tr>
        <w:tc>
          <w:tcPr>
            <w:tcW w:type="dxa" w:w="2268"/>
          </w:tcPr>
          <w:p>
            <w:r/>
            <w:r>
              <w:rPr>
                <w:rFonts w:ascii="Calibri" w:hAnsi="Calibri" w:cs="Calibri" w:eastAsia="Calibri"/>
                <w:b w:val="0"/>
                <w:i w:val="0"/>
                <w:sz w:val="18"/>
                <w:szCs w:val="18"/>
              </w:rPr>
              <w:t>Current level</w:t>
            </w:r>
          </w:p>
        </w:tc>
        <w:tc>
          <w:tcPr>
            <w:tcW w:type="dxa" w:w="4535"/>
          </w:tcPr>
          <w:p>
            <w:r/>
            <w:r>
              <w:rPr>
                <w:rFonts w:ascii="Calibri" w:hAnsi="Calibri" w:cs="Calibri" w:eastAsia="Calibri"/>
                <w:b w:val="0"/>
                <w:i w:val="0"/>
                <w:sz w:val="18"/>
                <w:szCs w:val="18"/>
              </w:rPr>
              <w:t>Assessed level.</w:t>
            </w:r>
          </w:p>
        </w:tc>
        <w:tc>
          <w:tcPr>
            <w:tcW w:type="dxa" w:w="2551"/>
          </w:tcPr>
          <w:p>
            <w:r/>
            <w:r>
              <w:rPr>
                <w:rFonts w:ascii="Calibri" w:hAnsi="Calibri" w:cs="Calibri" w:eastAsia="Calibri"/>
                <w:b w:val="0"/>
                <w:i w:val="0"/>
                <w:sz w:val="18"/>
                <w:szCs w:val="18"/>
              </w:rPr>
              <w:t>2</w:t>
            </w:r>
          </w:p>
        </w:tc>
      </w:tr>
      <w:tr>
        <w:tc>
          <w:tcPr>
            <w:tcW w:type="dxa" w:w="2268"/>
          </w:tcPr>
          <w:p>
            <w:r/>
            <w:r>
              <w:rPr>
                <w:rFonts w:ascii="Calibri" w:hAnsi="Calibri" w:cs="Calibri" w:eastAsia="Calibri"/>
                <w:b w:val="0"/>
                <w:i w:val="0"/>
                <w:sz w:val="18"/>
                <w:szCs w:val="18"/>
              </w:rPr>
              <w:t>Evidence</w:t>
            </w:r>
          </w:p>
        </w:tc>
        <w:tc>
          <w:tcPr>
            <w:tcW w:type="dxa" w:w="4535"/>
          </w:tcPr>
          <w:p>
            <w:r/>
            <w:r>
              <w:rPr>
                <w:rFonts w:ascii="Calibri" w:hAnsi="Calibri" w:cs="Calibri" w:eastAsia="Calibri"/>
                <w:b w:val="0"/>
                <w:i w:val="0"/>
                <w:sz w:val="18"/>
                <w:szCs w:val="18"/>
              </w:rPr>
              <w:t>Certification, training, assessment.</w:t>
            </w:r>
          </w:p>
        </w:tc>
        <w:tc>
          <w:tcPr>
            <w:tcW w:type="dxa" w:w="2551"/>
          </w:tcPr>
          <w:p>
            <w:r/>
          </w:p>
        </w:tc>
      </w:tr>
      <w:tr>
        <w:tc>
          <w:tcPr>
            <w:tcW w:type="dxa" w:w="2268"/>
          </w:tcPr>
          <w:p>
            <w:r/>
            <w:r>
              <w:rPr>
                <w:rFonts w:ascii="Calibri" w:hAnsi="Calibri" w:cs="Calibri" w:eastAsia="Calibri"/>
                <w:b w:val="0"/>
                <w:i w:val="0"/>
                <w:sz w:val="18"/>
                <w:szCs w:val="18"/>
              </w:rPr>
              <w:t>Development action and date</w:t>
            </w:r>
          </w:p>
        </w:tc>
        <w:tc>
          <w:tcPr>
            <w:tcW w:type="dxa" w:w="4535"/>
          </w:tcPr>
          <w:p>
            <w:r/>
            <w:r>
              <w:rPr>
                <w:rFonts w:ascii="Calibri" w:hAnsi="Calibri" w:cs="Calibri" w:eastAsia="Calibri"/>
                <w:b w:val="0"/>
                <w:i w:val="0"/>
                <w:sz w:val="18"/>
                <w:szCs w:val="18"/>
              </w:rPr>
              <w:t>Training or certification planned.</w:t>
            </w:r>
          </w:p>
        </w:tc>
        <w:tc>
          <w:tcPr>
            <w:tcW w:type="dxa" w:w="2551"/>
          </w:tcPr>
          <w:p>
            <w:r/>
          </w:p>
        </w:tc>
      </w:tr>
    </w:tbl>
    <w:p>
      <w:pPr>
        <w:spacing w:after="40"/>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Maintain current entries. Each entry must have an owner and a last-updated date.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rPr>
          <w:tblHeader w:val="true"/>
        </w:trPr>
        <w:tc>
          <w:tcPr>
            <w:tcW w:type="dxa" w:w="1559"/>
            <w:shd w:val="clear" w:color="auto" w:fill="1F3864"/>
          </w:tcPr>
          <w:p>
            <w:r/>
            <w:r>
              <w:rPr>
                <w:rFonts w:ascii="Calibri" w:hAnsi="Calibri" w:cs="Calibri" w:eastAsia="Calibri"/>
                <w:b/>
                <w:i w:val="0"/>
                <w:color w:val="FFFFFF"/>
                <w:sz w:val="16"/>
                <w:szCs w:val="16"/>
                <w:bCs/>
              </w:rPr>
              <w:t>Person or role</w:t>
            </w:r>
          </w:p>
        </w:tc>
        <w:tc>
          <w:tcPr>
            <w:tcW w:type="dxa" w:w="1559"/>
            <w:shd w:val="clear" w:color="auto" w:fill="1F3864"/>
          </w:tcPr>
          <w:p>
            <w:r/>
            <w:r>
              <w:rPr>
                <w:rFonts w:ascii="Calibri" w:hAnsi="Calibri" w:cs="Calibri" w:eastAsia="Calibri"/>
                <w:b/>
                <w:i w:val="0"/>
                <w:color w:val="FFFFFF"/>
                <w:sz w:val="16"/>
                <w:szCs w:val="16"/>
                <w:bCs/>
              </w:rPr>
              <w:t>Competency</w:t>
            </w:r>
          </w:p>
        </w:tc>
        <w:tc>
          <w:tcPr>
            <w:tcW w:type="dxa" w:w="1559"/>
            <w:shd w:val="clear" w:color="auto" w:fill="1F3864"/>
          </w:tcPr>
          <w:p>
            <w:r/>
            <w:r>
              <w:rPr>
                <w:rFonts w:ascii="Calibri" w:hAnsi="Calibri" w:cs="Calibri" w:eastAsia="Calibri"/>
                <w:b/>
                <w:i w:val="0"/>
                <w:color w:val="FFFFFF"/>
                <w:sz w:val="16"/>
                <w:szCs w:val="16"/>
                <w:bCs/>
              </w:rPr>
              <w:t>Required level (1 to 4)</w:t>
            </w:r>
          </w:p>
        </w:tc>
        <w:tc>
          <w:tcPr>
            <w:tcW w:type="dxa" w:w="1559"/>
            <w:shd w:val="clear" w:color="auto" w:fill="1F3864"/>
          </w:tcPr>
          <w:p>
            <w:r/>
            <w:r>
              <w:rPr>
                <w:rFonts w:ascii="Calibri" w:hAnsi="Calibri" w:cs="Calibri" w:eastAsia="Calibri"/>
                <w:b/>
                <w:i w:val="0"/>
                <w:color w:val="FFFFFF"/>
                <w:sz w:val="16"/>
                <w:szCs w:val="16"/>
                <w:bCs/>
              </w:rPr>
              <w:t>Current level</w:t>
            </w:r>
          </w:p>
        </w:tc>
        <w:tc>
          <w:tcPr>
            <w:tcW w:type="dxa" w:w="1559"/>
            <w:shd w:val="clear" w:color="auto" w:fill="1F3864"/>
          </w:tcPr>
          <w:p>
            <w:r/>
            <w:r>
              <w:rPr>
                <w:rFonts w:ascii="Calibri" w:hAnsi="Calibri" w:cs="Calibri" w:eastAsia="Calibri"/>
                <w:b/>
                <w:i w:val="0"/>
                <w:color w:val="FFFFFF"/>
                <w:sz w:val="16"/>
                <w:szCs w:val="16"/>
                <w:bCs/>
              </w:rPr>
              <w:t>Evidence</w:t>
            </w:r>
          </w:p>
        </w:tc>
        <w:tc>
          <w:tcPr>
            <w:tcW w:type="dxa" w:w="1559"/>
            <w:shd w:val="clear" w:color="auto" w:fill="1F3864"/>
          </w:tcPr>
          <w:p>
            <w:r/>
            <w:r>
              <w:rPr>
                <w:rFonts w:ascii="Calibri" w:hAnsi="Calibri" w:cs="Calibri" w:eastAsia="Calibri"/>
                <w:b/>
                <w:i w:val="0"/>
                <w:color w:val="FFFFFF"/>
                <w:sz w:val="16"/>
                <w:szCs w:val="16"/>
                <w:bCs/>
              </w:rPr>
              <w:t>Development action and date</w:t>
            </w:r>
          </w:p>
        </w:tc>
      </w:tr>
      <w:tr>
        <w:tc>
          <w:tcPr>
            <w:tcW w:type="dxa" w:w="1559"/>
          </w:tcPr>
          <w:p>
            <w:r/>
            <w:r>
              <w:rPr>
                <w:rFonts w:ascii="Calibri" w:hAnsi="Calibri" w:cs="Calibri" w:eastAsia="Calibri"/>
                <w:b w:val="0"/>
                <w:i w:val="0"/>
                <w:sz w:val="16"/>
                <w:szCs w:val="16"/>
              </w:rPr>
              <w:t>Security Manager</w:t>
            </w:r>
          </w:p>
        </w:tc>
        <w:tc>
          <w:tcPr>
            <w:tcW w:type="dxa" w:w="1559"/>
          </w:tcPr>
          <w:p>
            <w:r/>
            <w:r>
              <w:rPr>
                <w:rFonts w:ascii="Calibri" w:hAnsi="Calibri" w:cs="Calibri" w:eastAsia="Calibri"/>
                <w:b w:val="0"/>
                <w:i w:val="0"/>
                <w:sz w:val="16"/>
                <w:szCs w:val="16"/>
              </w:rPr>
              <w:t>Risk management and governance</w:t>
            </w:r>
          </w:p>
        </w:tc>
        <w:tc>
          <w:tcPr>
            <w:tcW w:type="dxa" w:w="1559"/>
          </w:tcPr>
          <w:p>
            <w:r/>
            <w:r>
              <w:rPr>
                <w:rFonts w:ascii="Calibri" w:hAnsi="Calibri" w:cs="Calibri" w:eastAsia="Calibri"/>
                <w:b w:val="0"/>
                <w:i w:val="0"/>
                <w:sz w:val="16"/>
                <w:szCs w:val="16"/>
              </w:rPr>
              <w:t>4</w:t>
            </w:r>
          </w:p>
        </w:tc>
        <w:tc>
          <w:tcPr>
            <w:tcW w:type="dxa" w:w="1559"/>
          </w:tcPr>
          <w:p>
            <w:r/>
            <w:r>
              <w:rPr>
                <w:rFonts w:ascii="Calibri" w:hAnsi="Calibri" w:cs="Calibri" w:eastAsia="Calibri"/>
                <w:b w:val="0"/>
                <w:i w:val="0"/>
                <w:sz w:val="16"/>
                <w:szCs w:val="16"/>
              </w:rPr>
              <w:t>3</w:t>
            </w:r>
          </w:p>
        </w:tc>
        <w:tc>
          <w:tcPr>
            <w:tcW w:type="dxa" w:w="1559"/>
          </w:tcPr>
          <w:p>
            <w:r/>
            <w:r>
              <w:rPr>
                <w:rFonts w:ascii="Calibri" w:hAnsi="Calibri" w:cs="Calibri" w:eastAsia="Calibri"/>
                <w:b w:val="0"/>
                <w:i w:val="0"/>
                <w:sz w:val="16"/>
                <w:szCs w:val="16"/>
              </w:rPr>
              <w:t>ISO/IEC 27001 Lead Implementer; CISSP in progress</w:t>
            </w:r>
          </w:p>
        </w:tc>
        <w:tc>
          <w:tcPr>
            <w:tcW w:type="dxa" w:w="1559"/>
          </w:tcPr>
          <w:p>
            <w:r/>
            <w:r>
              <w:rPr>
                <w:rFonts w:ascii="Calibri" w:hAnsi="Calibri" w:cs="Calibri" w:eastAsia="Calibri"/>
                <w:b w:val="0"/>
                <w:i w:val="0"/>
                <w:sz w:val="16"/>
                <w:szCs w:val="16"/>
              </w:rPr>
              <w:t>CISSP by 06/2027</w:t>
            </w:r>
          </w:p>
        </w:tc>
      </w:tr>
      <w:tr>
        <w:tc>
          <w:tcPr>
            <w:tcW w:type="dxa" w:w="1559"/>
          </w:tcPr>
          <w:p>
            <w:r/>
            <w:r>
              <w:rPr>
                <w:rFonts w:ascii="Calibri" w:hAnsi="Calibri" w:cs="Calibri" w:eastAsia="Calibri"/>
                <w:b w:val="0"/>
                <w:i w:val="0"/>
                <w:sz w:val="16"/>
                <w:szCs w:val="16"/>
              </w:rPr>
              <w:t>Security Engineer 1</w:t>
            </w:r>
          </w:p>
        </w:tc>
        <w:tc>
          <w:tcPr>
            <w:tcW w:type="dxa" w:w="1559"/>
          </w:tcPr>
          <w:p>
            <w:r/>
            <w:r>
              <w:rPr>
                <w:rFonts w:ascii="Calibri" w:hAnsi="Calibri" w:cs="Calibri" w:eastAsia="Calibri"/>
                <w:b w:val="0"/>
                <w:i w:val="0"/>
                <w:sz w:val="16"/>
                <w:szCs w:val="16"/>
              </w:rPr>
              <w:t>Incident handling</w:t>
            </w:r>
          </w:p>
        </w:tc>
        <w:tc>
          <w:tcPr>
            <w:tcW w:type="dxa" w:w="1559"/>
          </w:tcPr>
          <w:p>
            <w:r/>
            <w:r>
              <w:rPr>
                <w:rFonts w:ascii="Calibri" w:hAnsi="Calibri" w:cs="Calibri" w:eastAsia="Calibri"/>
                <w:b w:val="0"/>
                <w:i w:val="0"/>
                <w:sz w:val="16"/>
                <w:szCs w:val="16"/>
              </w:rPr>
              <w:t>3</w:t>
            </w:r>
          </w:p>
        </w:tc>
        <w:tc>
          <w:tcPr>
            <w:tcW w:type="dxa" w:w="1559"/>
          </w:tcPr>
          <w:p>
            <w:r/>
            <w:r>
              <w:rPr>
                <w:rFonts w:ascii="Calibri" w:hAnsi="Calibri" w:cs="Calibri" w:eastAsia="Calibri"/>
                <w:b w:val="0"/>
                <w:i w:val="0"/>
                <w:sz w:val="16"/>
                <w:szCs w:val="16"/>
              </w:rPr>
              <w:t>2</w:t>
            </w:r>
          </w:p>
        </w:tc>
        <w:tc>
          <w:tcPr>
            <w:tcW w:type="dxa" w:w="1559"/>
          </w:tcPr>
          <w:p>
            <w:r/>
            <w:r>
              <w:rPr>
                <w:rFonts w:ascii="Calibri" w:hAnsi="Calibri" w:cs="Calibri" w:eastAsia="Calibri"/>
                <w:b w:val="0"/>
                <w:i w:val="0"/>
                <w:sz w:val="16"/>
                <w:szCs w:val="16"/>
              </w:rPr>
              <w:t>Internal drill EX-2026-02</w:t>
            </w:r>
          </w:p>
        </w:tc>
        <w:tc>
          <w:tcPr>
            <w:tcW w:type="dxa" w:w="1559"/>
          </w:tcPr>
          <w:p>
            <w:r/>
            <w:r>
              <w:rPr>
                <w:rFonts w:ascii="Calibri" w:hAnsi="Calibri" w:cs="Calibri" w:eastAsia="Calibri"/>
                <w:b w:val="0"/>
                <w:i w:val="0"/>
                <w:sz w:val="16"/>
                <w:szCs w:val="16"/>
              </w:rPr>
              <w:t>Incident handler course, Q1 2027</w:t>
            </w:r>
          </w:p>
        </w:tc>
      </w:tr>
      <w:tr>
        <w:tc>
          <w:tcPr>
            <w:tcW w:type="dxa" w:w="1559"/>
          </w:tcPr>
          <w:p>
            <w:r/>
            <w:r>
              <w:rPr>
                <w:rFonts w:ascii="Calibri" w:hAnsi="Calibri" w:cs="Calibri" w:eastAsia="Calibri"/>
                <w:b w:val="0"/>
                <w:i w:val="0"/>
                <w:sz w:val="16"/>
                <w:szCs w:val="16"/>
              </w:rPr>
              <w:t>Security Engineer 2</w:t>
            </w:r>
          </w:p>
        </w:tc>
        <w:tc>
          <w:tcPr>
            <w:tcW w:type="dxa" w:w="1559"/>
          </w:tcPr>
          <w:p>
            <w:r/>
            <w:r>
              <w:rPr>
                <w:rFonts w:ascii="Calibri" w:hAnsi="Calibri" w:cs="Calibri" w:eastAsia="Calibri"/>
                <w:b w:val="0"/>
                <w:i w:val="0"/>
                <w:sz w:val="16"/>
                <w:szCs w:val="16"/>
              </w:rPr>
              <w:t>Identity and PAM administration</w:t>
            </w:r>
          </w:p>
        </w:tc>
        <w:tc>
          <w:tcPr>
            <w:tcW w:type="dxa" w:w="1559"/>
          </w:tcPr>
          <w:p>
            <w:r/>
            <w:r>
              <w:rPr>
                <w:rFonts w:ascii="Calibri" w:hAnsi="Calibri" w:cs="Calibri" w:eastAsia="Calibri"/>
                <w:b w:val="0"/>
                <w:i w:val="0"/>
                <w:sz w:val="16"/>
                <w:szCs w:val="16"/>
              </w:rPr>
              <w:t>3</w:t>
            </w:r>
          </w:p>
        </w:tc>
        <w:tc>
          <w:tcPr>
            <w:tcW w:type="dxa" w:w="1559"/>
          </w:tcPr>
          <w:p>
            <w:r/>
            <w:r>
              <w:rPr>
                <w:rFonts w:ascii="Calibri" w:hAnsi="Calibri" w:cs="Calibri" w:eastAsia="Calibri"/>
                <w:b w:val="0"/>
                <w:i w:val="0"/>
                <w:sz w:val="16"/>
                <w:szCs w:val="16"/>
              </w:rPr>
              <w:t>3</w:t>
            </w:r>
          </w:p>
        </w:tc>
        <w:tc>
          <w:tcPr>
            <w:tcW w:type="dxa" w:w="1559"/>
          </w:tcPr>
          <w:p>
            <w:r/>
            <w:r>
              <w:rPr>
                <w:rFonts w:ascii="Calibri" w:hAnsi="Calibri" w:cs="Calibri" w:eastAsia="Calibri"/>
                <w:b w:val="0"/>
                <w:i w:val="0"/>
                <w:sz w:val="16"/>
                <w:szCs w:val="16"/>
              </w:rPr>
              <w:t>Vendor PAM certification 2026</w:t>
            </w:r>
          </w:p>
        </w:tc>
        <w:tc>
          <w:tcPr>
            <w:tcW w:type="dxa" w:w="1559"/>
          </w:tcPr>
          <w:p>
            <w:r/>
            <w:r>
              <w:rPr>
                <w:rFonts w:ascii="Calibri" w:hAnsi="Calibri" w:cs="Calibri" w:eastAsia="Calibri"/>
                <w:b w:val="0"/>
                <w:i w:val="0"/>
                <w:sz w:val="16"/>
                <w:szCs w:val="16"/>
              </w:rPr>
              <w:t>Maintain</w:t>
            </w:r>
          </w:p>
        </w:tc>
      </w:tr>
      <w:tr>
        <w:tc>
          <w:tcPr>
            <w:tcW w:type="dxa" w:w="1559"/>
          </w:tcPr>
          <w:p>
            <w:r/>
            <w:r>
              <w:rPr>
                <w:rFonts w:ascii="Calibri" w:hAnsi="Calibri" w:cs="Calibri" w:eastAsia="Calibri"/>
                <w:b w:val="0"/>
                <w:i w:val="0"/>
                <w:sz w:val="16"/>
                <w:szCs w:val="16"/>
              </w:rPr>
              <w:t>IT Infrastructure Manager</w:t>
            </w:r>
          </w:p>
        </w:tc>
        <w:tc>
          <w:tcPr>
            <w:tcW w:type="dxa" w:w="1559"/>
          </w:tcPr>
          <w:p>
            <w:r/>
            <w:r>
              <w:rPr>
                <w:rFonts w:ascii="Calibri" w:hAnsi="Calibri" w:cs="Calibri" w:eastAsia="Calibri"/>
                <w:b w:val="0"/>
                <w:i w:val="0"/>
                <w:sz w:val="16"/>
                <w:szCs w:val="16"/>
              </w:rPr>
              <w:t>Backup and recovery</w:t>
            </w:r>
          </w:p>
        </w:tc>
        <w:tc>
          <w:tcPr>
            <w:tcW w:type="dxa" w:w="1559"/>
          </w:tcPr>
          <w:p>
            <w:r/>
            <w:r>
              <w:rPr>
                <w:rFonts w:ascii="Calibri" w:hAnsi="Calibri" w:cs="Calibri" w:eastAsia="Calibri"/>
                <w:b w:val="0"/>
                <w:i w:val="0"/>
                <w:sz w:val="16"/>
                <w:szCs w:val="16"/>
              </w:rPr>
              <w:t>3</w:t>
            </w:r>
          </w:p>
        </w:tc>
        <w:tc>
          <w:tcPr>
            <w:tcW w:type="dxa" w:w="1559"/>
          </w:tcPr>
          <w:p>
            <w:r/>
            <w:r>
              <w:rPr>
                <w:rFonts w:ascii="Calibri" w:hAnsi="Calibri" w:cs="Calibri" w:eastAsia="Calibri"/>
                <w:b w:val="0"/>
                <w:i w:val="0"/>
                <w:sz w:val="16"/>
                <w:szCs w:val="16"/>
              </w:rPr>
              <w:t>3</w:t>
            </w:r>
          </w:p>
        </w:tc>
        <w:tc>
          <w:tcPr>
            <w:tcW w:type="dxa" w:w="1559"/>
          </w:tcPr>
          <w:p>
            <w:r/>
            <w:r>
              <w:rPr>
                <w:rFonts w:ascii="Calibri" w:hAnsi="Calibri" w:cs="Calibri" w:eastAsia="Calibri"/>
                <w:b w:val="0"/>
                <w:i w:val="0"/>
                <w:sz w:val="16"/>
                <w:szCs w:val="16"/>
              </w:rPr>
              <w:t>DR test DR-2026-01 lead</w:t>
            </w:r>
          </w:p>
        </w:tc>
        <w:tc>
          <w:tcPr>
            <w:tcW w:type="dxa" w:w="1559"/>
          </w:tcPr>
          <w:p>
            <w:r/>
            <w:r>
              <w:rPr>
                <w:rFonts w:ascii="Calibri" w:hAnsi="Calibri" w:cs="Calibri" w:eastAsia="Calibri"/>
                <w:b w:val="0"/>
                <w:i w:val="0"/>
                <w:sz w:val="16"/>
                <w:szCs w:val="16"/>
              </w:rPr>
              <w:t>Maintain</w:t>
            </w:r>
          </w:p>
        </w:tc>
      </w:tr>
      <w:tr>
        <w:tc>
          <w:tcPr>
            <w:tcW w:type="dxa" w:w="1559"/>
          </w:tcPr>
          <w:p>
            <w:r/>
            <w:r>
              <w:rPr>
                <w:rFonts w:ascii="Calibri" w:hAnsi="Calibri" w:cs="Calibri" w:eastAsia="Calibri"/>
                <w:b w:val="0"/>
                <w:i w:val="0"/>
                <w:sz w:val="16"/>
                <w:szCs w:val="16"/>
              </w:rPr>
              <w:t>Application Manager</w:t>
            </w:r>
          </w:p>
        </w:tc>
        <w:tc>
          <w:tcPr>
            <w:tcW w:type="dxa" w:w="1559"/>
          </w:tcPr>
          <w:p>
            <w:r/>
            <w:r>
              <w:rPr>
                <w:rFonts w:ascii="Calibri" w:hAnsi="Calibri" w:cs="Calibri" w:eastAsia="Calibri"/>
                <w:b w:val="0"/>
                <w:i w:val="0"/>
                <w:sz w:val="16"/>
                <w:szCs w:val="16"/>
              </w:rPr>
              <w:t>Secure development</w:t>
            </w:r>
          </w:p>
        </w:tc>
        <w:tc>
          <w:tcPr>
            <w:tcW w:type="dxa" w:w="1559"/>
          </w:tcPr>
          <w:p>
            <w:r/>
            <w:r>
              <w:rPr>
                <w:rFonts w:ascii="Calibri" w:hAnsi="Calibri" w:cs="Calibri" w:eastAsia="Calibri"/>
                <w:b w:val="0"/>
                <w:i w:val="0"/>
                <w:sz w:val="16"/>
                <w:szCs w:val="16"/>
              </w:rPr>
              <w:t>3</w:t>
            </w:r>
          </w:p>
        </w:tc>
        <w:tc>
          <w:tcPr>
            <w:tcW w:type="dxa" w:w="1559"/>
          </w:tcPr>
          <w:p>
            <w:r/>
            <w:r>
              <w:rPr>
                <w:rFonts w:ascii="Calibri" w:hAnsi="Calibri" w:cs="Calibri" w:eastAsia="Calibri"/>
                <w:b w:val="0"/>
                <w:i w:val="0"/>
                <w:sz w:val="16"/>
                <w:szCs w:val="16"/>
              </w:rPr>
              <w:t>2</w:t>
            </w:r>
          </w:p>
        </w:tc>
        <w:tc>
          <w:tcPr>
            <w:tcW w:type="dxa" w:w="1559"/>
          </w:tcPr>
          <w:p>
            <w:r/>
            <w:r>
              <w:rPr>
                <w:rFonts w:ascii="Calibri" w:hAnsi="Calibri" w:cs="Calibri" w:eastAsia="Calibri"/>
                <w:b w:val="0"/>
                <w:i w:val="0"/>
                <w:sz w:val="16"/>
                <w:szCs w:val="16"/>
              </w:rPr>
              <w:t>OWASP workshop 2025</w:t>
            </w:r>
          </w:p>
        </w:tc>
        <w:tc>
          <w:tcPr>
            <w:tcW w:type="dxa" w:w="1559"/>
          </w:tcPr>
          <w:p>
            <w:r/>
            <w:r>
              <w:rPr>
                <w:rFonts w:ascii="Calibri" w:hAnsi="Calibri" w:cs="Calibri" w:eastAsia="Calibri"/>
                <w:b w:val="0"/>
                <w:i w:val="0"/>
                <w:sz w:val="16"/>
                <w:szCs w:val="16"/>
              </w:rPr>
              <w:t>Secure code review training, Q4 2026</w:t>
            </w:r>
          </w:p>
        </w:tc>
      </w:tr>
    </w:tbl>
    <w:p>
      <w:pPr>
        <w:spacing w:after="40"/>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Base levels on observable evidence, not self-assessment alone.</w:t>
      </w:r>
    </w:p>
    <w:p>
      <w:pPr>
        <w:pStyle w:val="ListBullet"/>
        <w:spacing w:after="40"/>
      </w:pPr>
      <w:r>
        <w:rPr>
          <w:rFonts w:ascii="Calibri" w:hAnsi="Calibri" w:cs="Calibri" w:eastAsia="Calibri"/>
          <w:b w:val="0"/>
          <w:i w:val="0"/>
          <w:sz w:val="21"/>
          <w:szCs w:val="21"/>
        </w:rPr>
        <w:t>Use the matrix to plan cross-training and succession for single points of failure.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Listing certifications without linking them to role requirements.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PR.AT-02: Individuals in specialized roles are provided with awareness and training for those roles</w:t>
            </w:r>
          </w:p>
          <w:p>
            <w:r>
              <w:rPr>
                <w:rFonts w:ascii="Calibri" w:hAnsi="Calibri" w:cs="Calibri" w:eastAsia="Calibri"/>
                <w:b w:val="0"/>
                <w:i w:val="0"/>
                <w:sz w:val="18"/>
                <w:szCs w:val="18"/>
              </w:rPr>
              <w:t>GV.RR-04: Cybersecurity is included in human resources practices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7.2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AT-3, PM-13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7.2 (documented evidence of competence)</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PR-PLN-001: Security Awareness and Training Program</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PR-REG-002  |  Role-Based Training and Skills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