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Information Classification and Handling Standard</w:t>
      </w:r>
    </w:p>
    <w:p>
      <w:pPr>
        <w:spacing w:after="80" w:before="0"/>
      </w:pPr>
      <w:r>
        <w:rPr>
          <w:rFonts w:ascii="Calibri" w:hAnsi="Calibri" w:cs="Calibri" w:eastAsia="Calibri"/>
          <w:b w:val="0"/>
          <w:i w:val="0"/>
          <w:color w:val="595959"/>
          <w:sz w:val="18"/>
          <w:szCs w:val="18"/>
        </w:rPr>
        <w:t>PR-STD-004  |  Standard  |  Data Security (PR.DS)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PR-STD-004</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Information Classification and Handling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8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8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Data Security (PR.DS)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5.12, 5.13, and 5.14</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3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8 April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defines the classification levels and the handling rules for each level, covering labeling, storage, sharing, transmission, printing, and disposal.</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Classification Levels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each level with examples.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587"/>
        <w:gridCol w:w="3515"/>
        <w:gridCol w:w="4252"/>
      </w:tblGrid>
      <w:tr>
        <w:trPr>
          <w:tblHeader w:val="true"/>
        </w:trPr>
        <w:tc>
          <w:tcPr>
            <w:tcW w:type="dxa" w:w="1587"/>
            <w:shd w:val="clear" w:color="auto" w:fill="1F3864"/>
          </w:tcPr>
          <w:p>
            <w:r/>
            <w:r>
              <w:rPr>
                <w:rFonts w:ascii="Calibri" w:hAnsi="Calibri" w:cs="Calibri" w:eastAsia="Calibri"/>
                <w:b/>
                <w:i w:val="0"/>
                <w:color w:val="FFFFFF"/>
                <w:sz w:val="18"/>
                <w:szCs w:val="18"/>
                <w:bCs/>
              </w:rPr>
              <w:t>Level</w:t>
            </w:r>
          </w:p>
        </w:tc>
        <w:tc>
          <w:tcPr>
            <w:tcW w:type="dxa" w:w="3515"/>
            <w:shd w:val="clear" w:color="auto" w:fill="1F3864"/>
          </w:tcPr>
          <w:p>
            <w:r/>
            <w:r>
              <w:rPr>
                <w:rFonts w:ascii="Calibri" w:hAnsi="Calibri" w:cs="Calibri" w:eastAsia="Calibri"/>
                <w:b/>
                <w:i w:val="0"/>
                <w:color w:val="FFFFFF"/>
                <w:sz w:val="18"/>
                <w:szCs w:val="18"/>
                <w:bCs/>
              </w:rPr>
              <w:t>Definition</w:t>
            </w:r>
          </w:p>
        </w:tc>
        <w:tc>
          <w:tcPr>
            <w:tcW w:type="dxa" w:w="4252"/>
            <w:shd w:val="clear" w:color="auto" w:fill="1F3864"/>
          </w:tcPr>
          <w:p>
            <w:r/>
            <w:r>
              <w:rPr>
                <w:rFonts w:ascii="Calibri" w:hAnsi="Calibri" w:cs="Calibri" w:eastAsia="Calibri"/>
                <w:b/>
                <w:i w:val="0"/>
                <w:color w:val="FFFFFF"/>
                <w:sz w:val="18"/>
                <w:szCs w:val="18"/>
                <w:bCs/>
              </w:rPr>
              <w:t>CMC examples</w:t>
            </w:r>
          </w:p>
        </w:tc>
      </w:tr>
      <w:tr>
        <w:tc>
          <w:tcPr>
            <w:tcW w:type="dxa" w:w="1587"/>
          </w:tcPr>
          <w:p>
            <w:r/>
            <w:r>
              <w:rPr>
                <w:rFonts w:ascii="Calibri" w:hAnsi="Calibri" w:cs="Calibri" w:eastAsia="Calibri"/>
                <w:b w:val="0"/>
                <w:i w:val="0"/>
                <w:sz w:val="18"/>
                <w:szCs w:val="18"/>
              </w:rPr>
              <w:t>Restricted</w:t>
            </w:r>
          </w:p>
        </w:tc>
        <w:tc>
          <w:tcPr>
            <w:tcW w:type="dxa" w:w="3515"/>
          </w:tcPr>
          <w:p>
            <w:r/>
            <w:r>
              <w:rPr>
                <w:rFonts w:ascii="Calibri" w:hAnsi="Calibri" w:cs="Calibri" w:eastAsia="Calibri"/>
                <w:b w:val="0"/>
                <w:i w:val="0"/>
                <w:sz w:val="18"/>
                <w:szCs w:val="18"/>
              </w:rPr>
              <w:t>Severe harm, legal penalty, or patient harm</w:t>
            </w:r>
          </w:p>
        </w:tc>
        <w:tc>
          <w:tcPr>
            <w:tcW w:type="dxa" w:w="4252"/>
          </w:tcPr>
          <w:p>
            <w:r/>
            <w:r>
              <w:rPr>
                <w:rFonts w:ascii="Calibri" w:hAnsi="Calibri" w:cs="Calibri" w:eastAsia="Calibri"/>
                <w:b w:val="0"/>
                <w:i w:val="0"/>
                <w:sz w:val="18"/>
                <w:szCs w:val="18"/>
              </w:rPr>
              <w:t>Medical records, images, lab results, HIV and mental health notes, credentials</w:t>
            </w:r>
          </w:p>
        </w:tc>
      </w:tr>
      <w:tr>
        <w:tc>
          <w:tcPr>
            <w:tcW w:type="dxa" w:w="1587"/>
          </w:tcPr>
          <w:p>
            <w:r/>
            <w:r>
              <w:rPr>
                <w:rFonts w:ascii="Calibri" w:hAnsi="Calibri" w:cs="Calibri" w:eastAsia="Calibri"/>
                <w:b w:val="0"/>
                <w:i w:val="0"/>
                <w:sz w:val="18"/>
                <w:szCs w:val="18"/>
              </w:rPr>
              <w:t>Confidential</w:t>
            </w:r>
          </w:p>
        </w:tc>
        <w:tc>
          <w:tcPr>
            <w:tcW w:type="dxa" w:w="3515"/>
          </w:tcPr>
          <w:p>
            <w:r/>
            <w:r>
              <w:rPr>
                <w:rFonts w:ascii="Calibri" w:hAnsi="Calibri" w:cs="Calibri" w:eastAsia="Calibri"/>
                <w:b w:val="0"/>
                <w:i w:val="0"/>
                <w:sz w:val="18"/>
                <w:szCs w:val="18"/>
              </w:rPr>
              <w:t>Harm to CMC or individuals</w:t>
            </w:r>
          </w:p>
        </w:tc>
        <w:tc>
          <w:tcPr>
            <w:tcW w:type="dxa" w:w="4252"/>
          </w:tcPr>
          <w:p>
            <w:r/>
            <w:r>
              <w:rPr>
                <w:rFonts w:ascii="Calibri" w:hAnsi="Calibri" w:cs="Calibri" w:eastAsia="Calibri"/>
                <w:b w:val="0"/>
                <w:i w:val="0"/>
                <w:sz w:val="18"/>
                <w:szCs w:val="18"/>
              </w:rPr>
              <w:t>Staff personal data, contracts, financial data, security reports</w:t>
            </w:r>
          </w:p>
        </w:tc>
      </w:tr>
      <w:tr>
        <w:tc>
          <w:tcPr>
            <w:tcW w:type="dxa" w:w="1587"/>
          </w:tcPr>
          <w:p>
            <w:r/>
            <w:r>
              <w:rPr>
                <w:rFonts w:ascii="Calibri" w:hAnsi="Calibri" w:cs="Calibri" w:eastAsia="Calibri"/>
                <w:b w:val="0"/>
                <w:i w:val="0"/>
                <w:sz w:val="18"/>
                <w:szCs w:val="18"/>
              </w:rPr>
              <w:t>Internal</w:t>
            </w:r>
          </w:p>
        </w:tc>
        <w:tc>
          <w:tcPr>
            <w:tcW w:type="dxa" w:w="3515"/>
          </w:tcPr>
          <w:p>
            <w:r/>
            <w:r>
              <w:rPr>
                <w:rFonts w:ascii="Calibri" w:hAnsi="Calibri" w:cs="Calibri" w:eastAsia="Calibri"/>
                <w:b w:val="0"/>
                <w:i w:val="0"/>
                <w:sz w:val="18"/>
                <w:szCs w:val="18"/>
              </w:rPr>
              <w:t>Staff use</w:t>
            </w:r>
          </w:p>
        </w:tc>
        <w:tc>
          <w:tcPr>
            <w:tcW w:type="dxa" w:w="4252"/>
          </w:tcPr>
          <w:p>
            <w:r/>
            <w:r>
              <w:rPr>
                <w:rFonts w:ascii="Calibri" w:hAnsi="Calibri" w:cs="Calibri" w:eastAsia="Calibri"/>
                <w:b w:val="0"/>
                <w:i w:val="0"/>
                <w:sz w:val="18"/>
                <w:szCs w:val="18"/>
              </w:rPr>
              <w:t>Clinical guidelines, internal announcements</w:t>
            </w:r>
          </w:p>
        </w:tc>
      </w:tr>
      <w:tr>
        <w:tc>
          <w:tcPr>
            <w:tcW w:type="dxa" w:w="1587"/>
          </w:tcPr>
          <w:p>
            <w:r/>
            <w:r>
              <w:rPr>
                <w:rFonts w:ascii="Calibri" w:hAnsi="Calibri" w:cs="Calibri" w:eastAsia="Calibri"/>
                <w:b w:val="0"/>
                <w:i w:val="0"/>
                <w:sz w:val="18"/>
                <w:szCs w:val="18"/>
              </w:rPr>
              <w:t>Public</w:t>
            </w:r>
          </w:p>
        </w:tc>
        <w:tc>
          <w:tcPr>
            <w:tcW w:type="dxa" w:w="3515"/>
          </w:tcPr>
          <w:p>
            <w:r/>
            <w:r>
              <w:rPr>
                <w:rFonts w:ascii="Calibri" w:hAnsi="Calibri" w:cs="Calibri" w:eastAsia="Calibri"/>
                <w:b w:val="0"/>
                <w:i w:val="0"/>
                <w:sz w:val="18"/>
                <w:szCs w:val="18"/>
              </w:rPr>
              <w:t>Approved for release</w:t>
            </w:r>
          </w:p>
        </w:tc>
        <w:tc>
          <w:tcPr>
            <w:tcW w:type="dxa" w:w="4252"/>
          </w:tcPr>
          <w:p>
            <w:r/>
            <w:r>
              <w:rPr>
                <w:rFonts w:ascii="Calibri" w:hAnsi="Calibri" w:cs="Calibri" w:eastAsia="Calibri"/>
                <w:b w:val="0"/>
                <w:i w:val="0"/>
                <w:sz w:val="18"/>
                <w:szCs w:val="18"/>
              </w:rPr>
              <w:t>Website, health education material</w:t>
            </w:r>
          </w:p>
        </w:tc>
      </w:tr>
    </w:tbl>
    <w:p>
      <w:pPr>
        <w:spacing w:after="40"/>
      </w:pPr>
    </w:p>
    <w:p>
      <w:pPr>
        <w:pStyle w:val="Heading2"/>
        <w:keepNext/>
        <w:spacing w:before="120" w:after="80"/>
      </w:pPr>
      <w:r>
        <w:rPr>
          <w:rFonts w:ascii="Calibri" w:hAnsi="Calibri" w:cs="Calibri" w:eastAsia="Calibri"/>
          <w:b/>
          <w:i w:val="0"/>
          <w:color w:val="1F3864"/>
          <w:sz w:val="24"/>
          <w:szCs w:val="24"/>
          <w:bCs/>
        </w:rPr>
        <w:t>4.4 Handling Rules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rules per level for key handling activities.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927"/>
        <w:gridCol w:w="2608"/>
        <w:gridCol w:w="2551"/>
        <w:gridCol w:w="2268"/>
      </w:tblGrid>
      <w:tr>
        <w:trPr>
          <w:tblHeader w:val="true"/>
        </w:trPr>
        <w:tc>
          <w:tcPr>
            <w:tcW w:type="dxa" w:w="1928"/>
            <w:shd w:val="clear" w:color="auto" w:fill="1F3864"/>
          </w:tcPr>
          <w:p>
            <w:r/>
            <w:r>
              <w:rPr>
                <w:rFonts w:ascii="Calibri" w:hAnsi="Calibri" w:cs="Calibri" w:eastAsia="Calibri"/>
                <w:b/>
                <w:i w:val="0"/>
                <w:color w:val="FFFFFF"/>
                <w:sz w:val="18"/>
                <w:szCs w:val="18"/>
                <w:bCs/>
              </w:rPr>
              <w:t>Activity</w:t>
            </w:r>
          </w:p>
        </w:tc>
        <w:tc>
          <w:tcPr>
            <w:tcW w:type="dxa" w:w="2608"/>
            <w:shd w:val="clear" w:color="auto" w:fill="1F3864"/>
          </w:tcPr>
          <w:p>
            <w:r/>
            <w:r>
              <w:rPr>
                <w:rFonts w:ascii="Calibri" w:hAnsi="Calibri" w:cs="Calibri" w:eastAsia="Calibri"/>
                <w:b/>
                <w:i w:val="0"/>
                <w:color w:val="FFFFFF"/>
                <w:sz w:val="18"/>
                <w:szCs w:val="18"/>
                <w:bCs/>
              </w:rPr>
              <w:t>Restricted</w:t>
            </w:r>
          </w:p>
        </w:tc>
        <w:tc>
          <w:tcPr>
            <w:tcW w:type="dxa" w:w="2551"/>
            <w:shd w:val="clear" w:color="auto" w:fill="1F3864"/>
          </w:tcPr>
          <w:p>
            <w:r/>
            <w:r>
              <w:rPr>
                <w:rFonts w:ascii="Calibri" w:hAnsi="Calibri" w:cs="Calibri" w:eastAsia="Calibri"/>
                <w:b/>
                <w:i w:val="0"/>
                <w:color w:val="FFFFFF"/>
                <w:sz w:val="18"/>
                <w:szCs w:val="18"/>
                <w:bCs/>
              </w:rPr>
              <w:t>Confidential</w:t>
            </w:r>
          </w:p>
        </w:tc>
        <w:tc>
          <w:tcPr>
            <w:tcW w:type="dxa" w:w="2268"/>
            <w:shd w:val="clear" w:color="auto" w:fill="1F3864"/>
          </w:tcPr>
          <w:p>
            <w:r/>
            <w:r>
              <w:rPr>
                <w:rFonts w:ascii="Calibri" w:hAnsi="Calibri" w:cs="Calibri" w:eastAsia="Calibri"/>
                <w:b/>
                <w:i w:val="0"/>
                <w:color w:val="FFFFFF"/>
                <w:sz w:val="18"/>
                <w:szCs w:val="18"/>
                <w:bCs/>
              </w:rPr>
              <w:t>Internal</w:t>
            </w:r>
          </w:p>
        </w:tc>
      </w:tr>
      <w:tr>
        <w:tc>
          <w:tcPr>
            <w:tcW w:type="dxa" w:w="1928"/>
          </w:tcPr>
          <w:p>
            <w:r/>
            <w:r>
              <w:rPr>
                <w:rFonts w:ascii="Calibri" w:hAnsi="Calibri" w:cs="Calibri" w:eastAsia="Calibri"/>
                <w:b w:val="0"/>
                <w:i w:val="0"/>
                <w:sz w:val="18"/>
                <w:szCs w:val="18"/>
              </w:rPr>
              <w:t>Labeling</w:t>
            </w:r>
          </w:p>
        </w:tc>
        <w:tc>
          <w:tcPr>
            <w:tcW w:type="dxa" w:w="2608"/>
          </w:tcPr>
          <w:p>
            <w:r/>
            <w:r>
              <w:rPr>
                <w:rFonts w:ascii="Calibri" w:hAnsi="Calibri" w:cs="Calibri" w:eastAsia="Calibri"/>
                <w:b w:val="0"/>
                <w:i w:val="0"/>
                <w:sz w:val="18"/>
                <w:szCs w:val="18"/>
              </w:rPr>
              <w:t>Label required</w:t>
            </w:r>
          </w:p>
        </w:tc>
        <w:tc>
          <w:tcPr>
            <w:tcW w:type="dxa" w:w="2551"/>
          </w:tcPr>
          <w:p>
            <w:r/>
            <w:r>
              <w:rPr>
                <w:rFonts w:ascii="Calibri" w:hAnsi="Calibri" w:cs="Calibri" w:eastAsia="Calibri"/>
                <w:b w:val="0"/>
                <w:i w:val="0"/>
                <w:sz w:val="18"/>
                <w:szCs w:val="18"/>
              </w:rPr>
              <w:t>Label required</w:t>
            </w:r>
          </w:p>
        </w:tc>
        <w:tc>
          <w:tcPr>
            <w:tcW w:type="dxa" w:w="2268"/>
          </w:tcPr>
          <w:p>
            <w:r/>
            <w:r>
              <w:rPr>
                <w:rFonts w:ascii="Calibri" w:hAnsi="Calibri" w:cs="Calibri" w:eastAsia="Calibri"/>
                <w:b w:val="0"/>
                <w:i w:val="0"/>
                <w:sz w:val="18"/>
                <w:szCs w:val="18"/>
              </w:rPr>
              <w:t>Default label</w:t>
            </w:r>
          </w:p>
        </w:tc>
      </w:tr>
      <w:tr>
        <w:tc>
          <w:tcPr>
            <w:tcW w:type="dxa" w:w="1928"/>
          </w:tcPr>
          <w:p>
            <w:r/>
            <w:r>
              <w:rPr>
                <w:rFonts w:ascii="Calibri" w:hAnsi="Calibri" w:cs="Calibri" w:eastAsia="Calibri"/>
                <w:b w:val="0"/>
                <w:i w:val="0"/>
                <w:sz w:val="18"/>
                <w:szCs w:val="18"/>
              </w:rPr>
              <w:t>Storage</w:t>
            </w:r>
          </w:p>
        </w:tc>
        <w:tc>
          <w:tcPr>
            <w:tcW w:type="dxa" w:w="2608"/>
          </w:tcPr>
          <w:p>
            <w:r/>
            <w:r>
              <w:rPr>
                <w:rFonts w:ascii="Calibri" w:hAnsi="Calibri" w:cs="Calibri" w:eastAsia="Calibri"/>
                <w:b w:val="0"/>
                <w:i w:val="0"/>
                <w:sz w:val="18"/>
                <w:szCs w:val="18"/>
              </w:rPr>
              <w:t>Approved systems only; encrypted</w:t>
            </w:r>
          </w:p>
        </w:tc>
        <w:tc>
          <w:tcPr>
            <w:tcW w:type="dxa" w:w="2551"/>
          </w:tcPr>
          <w:p>
            <w:r/>
            <w:r>
              <w:rPr>
                <w:rFonts w:ascii="Calibri" w:hAnsi="Calibri" w:cs="Calibri" w:eastAsia="Calibri"/>
                <w:b w:val="0"/>
                <w:i w:val="0"/>
                <w:sz w:val="18"/>
                <w:szCs w:val="18"/>
              </w:rPr>
              <w:t>Approved systems; encrypted on portable devices</w:t>
            </w:r>
          </w:p>
        </w:tc>
        <w:tc>
          <w:tcPr>
            <w:tcW w:type="dxa" w:w="2268"/>
          </w:tcPr>
          <w:p>
            <w:r/>
            <w:r>
              <w:rPr>
                <w:rFonts w:ascii="Calibri" w:hAnsi="Calibri" w:cs="Calibri" w:eastAsia="Calibri"/>
                <w:b w:val="0"/>
                <w:i w:val="0"/>
                <w:sz w:val="18"/>
                <w:szCs w:val="18"/>
              </w:rPr>
              <w:t>Approved systems</w:t>
            </w:r>
          </w:p>
        </w:tc>
      </w:tr>
      <w:tr>
        <w:tc>
          <w:tcPr>
            <w:tcW w:type="dxa" w:w="1928"/>
          </w:tcPr>
          <w:p>
            <w:r/>
            <w:r>
              <w:rPr>
                <w:rFonts w:ascii="Calibri" w:hAnsi="Calibri" w:cs="Calibri" w:eastAsia="Calibri"/>
                <w:b w:val="0"/>
                <w:i w:val="0"/>
                <w:sz w:val="18"/>
                <w:szCs w:val="18"/>
              </w:rPr>
              <w:t>Email outside the organization</w:t>
            </w:r>
          </w:p>
        </w:tc>
        <w:tc>
          <w:tcPr>
            <w:tcW w:type="dxa" w:w="2608"/>
          </w:tcPr>
          <w:p>
            <w:r/>
            <w:r>
              <w:rPr>
                <w:rFonts w:ascii="Calibri" w:hAnsi="Calibri" w:cs="Calibri" w:eastAsia="Calibri"/>
                <w:b w:val="0"/>
                <w:i w:val="0"/>
                <w:sz w:val="18"/>
                <w:szCs w:val="18"/>
              </w:rPr>
              <w:t>Encrypted and approved only</w:t>
            </w:r>
          </w:p>
        </w:tc>
        <w:tc>
          <w:tcPr>
            <w:tcW w:type="dxa" w:w="2551"/>
          </w:tcPr>
          <w:p>
            <w:r/>
            <w:r>
              <w:rPr>
                <w:rFonts w:ascii="Calibri" w:hAnsi="Calibri" w:cs="Calibri" w:eastAsia="Calibri"/>
                <w:b w:val="0"/>
                <w:i w:val="0"/>
                <w:sz w:val="18"/>
                <w:szCs w:val="18"/>
              </w:rPr>
              <w:t>Encrypted</w:t>
            </w:r>
          </w:p>
        </w:tc>
        <w:tc>
          <w:tcPr>
            <w:tcW w:type="dxa" w:w="2268"/>
          </w:tcPr>
          <w:p>
            <w:r/>
            <w:r>
              <w:rPr>
                <w:rFonts w:ascii="Calibri" w:hAnsi="Calibri" w:cs="Calibri" w:eastAsia="Calibri"/>
                <w:b w:val="0"/>
                <w:i w:val="0"/>
                <w:sz w:val="18"/>
                <w:szCs w:val="18"/>
              </w:rPr>
              <w:t>Allowed</w:t>
            </w:r>
          </w:p>
        </w:tc>
      </w:tr>
      <w:tr>
        <w:tc>
          <w:tcPr>
            <w:tcW w:type="dxa" w:w="1928"/>
          </w:tcPr>
          <w:p>
            <w:r/>
            <w:r>
              <w:rPr>
                <w:rFonts w:ascii="Calibri" w:hAnsi="Calibri" w:cs="Calibri" w:eastAsia="Calibri"/>
                <w:b w:val="0"/>
                <w:i w:val="0"/>
                <w:sz w:val="18"/>
                <w:szCs w:val="18"/>
              </w:rPr>
              <w:t>Removable media</w:t>
            </w:r>
          </w:p>
        </w:tc>
        <w:tc>
          <w:tcPr>
            <w:tcW w:type="dxa" w:w="2608"/>
          </w:tcPr>
          <w:p>
            <w:r/>
            <w:r>
              <w:rPr>
                <w:rFonts w:ascii="Calibri" w:hAnsi="Calibri" w:cs="Calibri" w:eastAsia="Calibri"/>
                <w:b w:val="0"/>
                <w:i w:val="0"/>
                <w:sz w:val="18"/>
                <w:szCs w:val="18"/>
              </w:rPr>
              <w:t>Prohibited unless approved and encrypted</w:t>
            </w:r>
          </w:p>
        </w:tc>
        <w:tc>
          <w:tcPr>
            <w:tcW w:type="dxa" w:w="2551"/>
          </w:tcPr>
          <w:p>
            <w:r/>
            <w:r>
              <w:rPr>
                <w:rFonts w:ascii="Calibri" w:hAnsi="Calibri" w:cs="Calibri" w:eastAsia="Calibri"/>
                <w:b w:val="0"/>
                <w:i w:val="0"/>
                <w:sz w:val="18"/>
                <w:szCs w:val="18"/>
              </w:rPr>
              <w:t>Encrypted only</w:t>
            </w:r>
          </w:p>
        </w:tc>
        <w:tc>
          <w:tcPr>
            <w:tcW w:type="dxa" w:w="2268"/>
          </w:tcPr>
          <w:p>
            <w:r/>
            <w:r>
              <w:rPr>
                <w:rFonts w:ascii="Calibri" w:hAnsi="Calibri" w:cs="Calibri" w:eastAsia="Calibri"/>
                <w:b w:val="0"/>
                <w:i w:val="0"/>
                <w:sz w:val="18"/>
                <w:szCs w:val="18"/>
              </w:rPr>
              <w:t>Allowed</w:t>
            </w:r>
          </w:p>
        </w:tc>
      </w:tr>
      <w:tr>
        <w:tc>
          <w:tcPr>
            <w:tcW w:type="dxa" w:w="1928"/>
          </w:tcPr>
          <w:p>
            <w:r/>
            <w:r>
              <w:rPr>
                <w:rFonts w:ascii="Calibri" w:hAnsi="Calibri" w:cs="Calibri" w:eastAsia="Calibri"/>
                <w:b w:val="0"/>
                <w:i w:val="0"/>
                <w:sz w:val="18"/>
                <w:szCs w:val="18"/>
              </w:rPr>
              <w:t>Printing</w:t>
            </w:r>
          </w:p>
        </w:tc>
        <w:tc>
          <w:tcPr>
            <w:tcW w:type="dxa" w:w="2608"/>
          </w:tcPr>
          <w:p>
            <w:r/>
            <w:r>
              <w:rPr>
                <w:rFonts w:ascii="Calibri" w:hAnsi="Calibri" w:cs="Calibri" w:eastAsia="Calibri"/>
                <w:b w:val="0"/>
                <w:i w:val="0"/>
                <w:sz w:val="18"/>
                <w:szCs w:val="18"/>
              </w:rPr>
              <w:t>Secure print release; collect immediately</w:t>
            </w:r>
          </w:p>
        </w:tc>
        <w:tc>
          <w:tcPr>
            <w:tcW w:type="dxa" w:w="2551"/>
          </w:tcPr>
          <w:p>
            <w:r/>
            <w:r>
              <w:rPr>
                <w:rFonts w:ascii="Calibri" w:hAnsi="Calibri" w:cs="Calibri" w:eastAsia="Calibri"/>
                <w:b w:val="0"/>
                <w:i w:val="0"/>
                <w:sz w:val="18"/>
                <w:szCs w:val="18"/>
              </w:rPr>
              <w:t>Collect immediately</w:t>
            </w:r>
          </w:p>
        </w:tc>
        <w:tc>
          <w:tcPr>
            <w:tcW w:type="dxa" w:w="2268"/>
          </w:tcPr>
          <w:p>
            <w:r/>
            <w:r>
              <w:rPr>
                <w:rFonts w:ascii="Calibri" w:hAnsi="Calibri" w:cs="Calibri" w:eastAsia="Calibri"/>
                <w:b w:val="0"/>
                <w:i w:val="0"/>
                <w:sz w:val="18"/>
                <w:szCs w:val="18"/>
              </w:rPr>
              <w:t>No restriction</w:t>
            </w:r>
          </w:p>
        </w:tc>
      </w:tr>
      <w:tr>
        <w:tc>
          <w:tcPr>
            <w:tcW w:type="dxa" w:w="1928"/>
          </w:tcPr>
          <w:p>
            <w:r/>
            <w:r>
              <w:rPr>
                <w:rFonts w:ascii="Calibri" w:hAnsi="Calibri" w:cs="Calibri" w:eastAsia="Calibri"/>
                <w:b w:val="0"/>
                <w:i w:val="0"/>
                <w:sz w:val="18"/>
                <w:szCs w:val="18"/>
              </w:rPr>
              <w:t>Disposal</w:t>
            </w:r>
          </w:p>
        </w:tc>
        <w:tc>
          <w:tcPr>
            <w:tcW w:type="dxa" w:w="2608"/>
          </w:tcPr>
          <w:p>
            <w:r/>
            <w:r>
              <w:rPr>
                <w:rFonts w:ascii="Calibri" w:hAnsi="Calibri" w:cs="Calibri" w:eastAsia="Calibri"/>
                <w:b w:val="0"/>
                <w:i w:val="0"/>
                <w:sz w:val="18"/>
                <w:szCs w:val="18"/>
              </w:rPr>
              <w:t>Shred or destroy media (NIST SP 800-88 Purge or Destroy)</w:t>
            </w:r>
          </w:p>
        </w:tc>
        <w:tc>
          <w:tcPr>
            <w:tcW w:type="dxa" w:w="2551"/>
          </w:tcPr>
          <w:p>
            <w:r/>
            <w:r>
              <w:rPr>
                <w:rFonts w:ascii="Calibri" w:hAnsi="Calibri" w:cs="Calibri" w:eastAsia="Calibri"/>
                <w:b w:val="0"/>
                <w:i w:val="0"/>
                <w:sz w:val="18"/>
                <w:szCs w:val="18"/>
              </w:rPr>
              <w:t>Shred; wipe media</w:t>
            </w:r>
          </w:p>
        </w:tc>
        <w:tc>
          <w:tcPr>
            <w:tcW w:type="dxa" w:w="2268"/>
          </w:tcPr>
          <w:p>
            <w:r/>
            <w:r>
              <w:rPr>
                <w:rFonts w:ascii="Calibri" w:hAnsi="Calibri" w:cs="Calibri" w:eastAsia="Calibri"/>
                <w:b w:val="0"/>
                <w:i w:val="0"/>
                <w:sz w:val="18"/>
                <w:szCs w:val="18"/>
              </w:rPr>
              <w:t>Recycle bin</w:t>
            </w:r>
          </w:p>
        </w:tc>
      </w:tr>
    </w:tbl>
    <w:p>
      <w:pPr>
        <w:spacing w:after="40"/>
      </w:pPr>
    </w:p>
    <w:p>
      <w:pPr>
        <w:pStyle w:val="Heading2"/>
        <w:keepNext/>
        <w:spacing w:before="120" w:after="80"/>
      </w:pPr>
      <w:r>
        <w:rPr>
          <w:rFonts w:ascii="Calibri" w:hAnsi="Calibri" w:cs="Calibri" w:eastAsia="Calibri"/>
          <w:b/>
          <w:i w:val="0"/>
          <w:color w:val="1F3864"/>
          <w:sz w:val="24"/>
          <w:szCs w:val="24"/>
          <w:bCs/>
        </w:rPr>
        <w:t>4.5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Use sensitivity labels in the collaboration platform that apply encryption automatically.</w:t>
      </w:r>
    </w:p>
    <w:p>
      <w:pPr>
        <w:pStyle w:val="ListBullet"/>
        <w:spacing w:after="40"/>
      </w:pPr>
      <w:r>
        <w:rPr>
          <w:rFonts w:ascii="Calibri" w:hAnsi="Calibri" w:cs="Calibri" w:eastAsia="Calibri"/>
          <w:b w:val="0"/>
          <w:i w:val="0"/>
          <w:sz w:val="21"/>
          <w:szCs w:val="21"/>
        </w:rPr>
        <w:t>Train staff with real examples from their own work.</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Rules that users cannot follow with the tools provided.</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PR.DS-01: The confidentiality, integrity, and availability of data-at-rest are protected</w:t>
            </w:r>
          </w:p>
          <w:p>
            <w:r>
              <w:rPr>
                <w:rFonts w:ascii="Calibri" w:hAnsi="Calibri" w:cs="Calibri" w:eastAsia="Calibri"/>
                <w:b w:val="0"/>
                <w:i w:val="0"/>
                <w:sz w:val="18"/>
                <w:szCs w:val="18"/>
              </w:rPr>
              <w:t>PR.DS-02: The confidentiality, integrity, and availability of data-in-transit are protected</w:t>
            </w:r>
          </w:p>
          <w:p>
            <w:r>
              <w:rPr>
                <w:rFonts w:ascii="Calibri" w:hAnsi="Calibri" w:cs="Calibri" w:eastAsia="Calibri"/>
                <w:b w:val="0"/>
                <w:i w:val="0"/>
                <w:sz w:val="18"/>
                <w:szCs w:val="18"/>
              </w:rPr>
              <w:t>PR.DS-10: The confidentiality, integrity, and availability of data-in-use are protected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A.5.12, Annex A.5.13, Annex A.5.14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RA-2, MP-3, MP-4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5.12, 5.13, and 5.14</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PR-POL-003: Data Protection and Classification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PR-STD-004  |  Information Classification and Handling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