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Cryptography and Key Management Standard</w:t>
      </w:r>
    </w:p>
    <w:p>
      <w:pPr>
        <w:spacing w:after="80" w:before="0"/>
      </w:pPr>
      <w:r>
        <w:rPr>
          <w:rFonts w:ascii="Calibri" w:hAnsi="Calibri" w:cs="Calibri" w:eastAsia="Calibri"/>
          <w:b w:val="0"/>
          <w:i w:val="0"/>
          <w:color w:val="595959"/>
          <w:sz w:val="18"/>
          <w:szCs w:val="18"/>
        </w:rPr>
        <w:t>PR-STD-005  |  Standard  |  Data Security (PR.DS)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PR-STD-005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Cryptography and Key Management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19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19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Data Security (PR.DS)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8.24</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10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19 July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approved cryptographic algorithms, protocols, and key management practices to protect data at rest and in transit (PR.DS-01, PR.DS-02).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Approved Cryptography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approved and prohibited algorithms and protocols.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84"/>
        <w:gridCol w:w="4252"/>
        <w:gridCol w:w="3118"/>
      </w:tblGrid>
      <w:tr>
        <w:trPr>
          <w:tblHeader w:val="true"/>
        </w:trPr>
        <w:tc>
          <w:tcPr>
            <w:tcW w:type="dxa" w:w="1984"/>
            <w:shd w:val="clear" w:color="auto" w:fill="1F3864"/>
          </w:tcPr>
          <w:p>
            <w:r/>
            <w:r>
              <w:rPr>
                <w:rFonts w:ascii="Calibri" w:hAnsi="Calibri" w:cs="Calibri" w:eastAsia="Calibri"/>
                <w:b/>
                <w:i w:val="0"/>
                <w:color w:val="FFFFFF"/>
                <w:sz w:val="18"/>
                <w:szCs w:val="18"/>
                <w:bCs/>
              </w:rPr>
              <w:t>Use</w:t>
            </w:r>
          </w:p>
        </w:tc>
        <w:tc>
          <w:tcPr>
            <w:tcW w:type="dxa" w:w="4252"/>
            <w:shd w:val="clear" w:color="auto" w:fill="1F3864"/>
          </w:tcPr>
          <w:p>
            <w:r/>
            <w:r>
              <w:rPr>
                <w:rFonts w:ascii="Calibri" w:hAnsi="Calibri" w:cs="Calibri" w:eastAsia="Calibri"/>
                <w:b/>
                <w:i w:val="0"/>
                <w:color w:val="FFFFFF"/>
                <w:sz w:val="18"/>
                <w:szCs w:val="18"/>
                <w:bCs/>
              </w:rPr>
              <w:t>Approved</w:t>
            </w:r>
          </w:p>
        </w:tc>
        <w:tc>
          <w:tcPr>
            <w:tcW w:type="dxa" w:w="3118"/>
            <w:shd w:val="clear" w:color="auto" w:fill="1F3864"/>
          </w:tcPr>
          <w:p>
            <w:r/>
            <w:r>
              <w:rPr>
                <w:rFonts w:ascii="Calibri" w:hAnsi="Calibri" w:cs="Calibri" w:eastAsia="Calibri"/>
                <w:b/>
                <w:i w:val="0"/>
                <w:color w:val="FFFFFF"/>
                <w:sz w:val="18"/>
                <w:szCs w:val="18"/>
                <w:bCs/>
              </w:rPr>
              <w:t>Prohibited</w:t>
            </w:r>
          </w:p>
        </w:tc>
      </w:tr>
      <w:tr>
        <w:tc>
          <w:tcPr>
            <w:tcW w:type="dxa" w:w="1984"/>
          </w:tcPr>
          <w:p>
            <w:r/>
            <w:r>
              <w:rPr>
                <w:rFonts w:ascii="Calibri" w:hAnsi="Calibri" w:cs="Calibri" w:eastAsia="Calibri"/>
                <w:b w:val="0"/>
                <w:i w:val="0"/>
                <w:sz w:val="18"/>
                <w:szCs w:val="18"/>
              </w:rPr>
              <w:t>Data in transit</w:t>
            </w:r>
          </w:p>
        </w:tc>
        <w:tc>
          <w:tcPr>
            <w:tcW w:type="dxa" w:w="4252"/>
          </w:tcPr>
          <w:p>
            <w:r/>
            <w:r>
              <w:rPr>
                <w:rFonts w:ascii="Calibri" w:hAnsi="Calibri" w:cs="Calibri" w:eastAsia="Calibri"/>
                <w:b w:val="0"/>
                <w:i w:val="0"/>
                <w:sz w:val="18"/>
                <w:szCs w:val="18"/>
              </w:rPr>
              <w:t>TLS 1.2 (approved cipher suites) or TLS 1.3; SSH v2; IPsec with AES</w:t>
            </w:r>
          </w:p>
        </w:tc>
        <w:tc>
          <w:tcPr>
            <w:tcW w:type="dxa" w:w="3118"/>
          </w:tcPr>
          <w:p>
            <w:r/>
            <w:r>
              <w:rPr>
                <w:rFonts w:ascii="Calibri" w:hAnsi="Calibri" w:cs="Calibri" w:eastAsia="Calibri"/>
                <w:b w:val="0"/>
                <w:i w:val="0"/>
                <w:sz w:val="18"/>
                <w:szCs w:val="18"/>
              </w:rPr>
              <w:t>SSL, TLS 1.0 and 1.1, Telnet, FTP</w:t>
            </w:r>
          </w:p>
        </w:tc>
      </w:tr>
      <w:tr>
        <w:tc>
          <w:tcPr>
            <w:tcW w:type="dxa" w:w="1984"/>
          </w:tcPr>
          <w:p>
            <w:r/>
            <w:r>
              <w:rPr>
                <w:rFonts w:ascii="Calibri" w:hAnsi="Calibri" w:cs="Calibri" w:eastAsia="Calibri"/>
                <w:b w:val="0"/>
                <w:i w:val="0"/>
                <w:sz w:val="18"/>
                <w:szCs w:val="18"/>
              </w:rPr>
              <w:t>Data at rest</w:t>
            </w:r>
          </w:p>
        </w:tc>
        <w:tc>
          <w:tcPr>
            <w:tcW w:type="dxa" w:w="4252"/>
          </w:tcPr>
          <w:p>
            <w:r/>
            <w:r>
              <w:rPr>
                <w:rFonts w:ascii="Calibri" w:hAnsi="Calibri" w:cs="Calibri" w:eastAsia="Calibri"/>
                <w:b w:val="0"/>
                <w:i w:val="0"/>
                <w:sz w:val="18"/>
                <w:szCs w:val="18"/>
              </w:rPr>
              <w:t>AES-256 (full disk, database, backup)</w:t>
            </w:r>
          </w:p>
        </w:tc>
        <w:tc>
          <w:tcPr>
            <w:tcW w:type="dxa" w:w="3118"/>
          </w:tcPr>
          <w:p>
            <w:r/>
            <w:r>
              <w:rPr>
                <w:rFonts w:ascii="Calibri" w:hAnsi="Calibri" w:cs="Calibri" w:eastAsia="Calibri"/>
                <w:b w:val="0"/>
                <w:i w:val="0"/>
                <w:sz w:val="18"/>
                <w:szCs w:val="18"/>
              </w:rPr>
              <w:t>DES, 3DES, RC4</w:t>
            </w:r>
          </w:p>
        </w:tc>
      </w:tr>
      <w:tr>
        <w:tc>
          <w:tcPr>
            <w:tcW w:type="dxa" w:w="1984"/>
          </w:tcPr>
          <w:p>
            <w:r/>
            <w:r>
              <w:rPr>
                <w:rFonts w:ascii="Calibri" w:hAnsi="Calibri" w:cs="Calibri" w:eastAsia="Calibri"/>
                <w:b w:val="0"/>
                <w:i w:val="0"/>
                <w:sz w:val="18"/>
                <w:szCs w:val="18"/>
              </w:rPr>
              <w:t>Hashing</w:t>
            </w:r>
          </w:p>
        </w:tc>
        <w:tc>
          <w:tcPr>
            <w:tcW w:type="dxa" w:w="4252"/>
          </w:tcPr>
          <w:p>
            <w:r/>
            <w:r>
              <w:rPr>
                <w:rFonts w:ascii="Calibri" w:hAnsi="Calibri" w:cs="Calibri" w:eastAsia="Calibri"/>
                <w:b w:val="0"/>
                <w:i w:val="0"/>
                <w:sz w:val="18"/>
                <w:szCs w:val="18"/>
              </w:rPr>
              <w:t>SHA-256 or stronger</w:t>
            </w:r>
          </w:p>
        </w:tc>
        <w:tc>
          <w:tcPr>
            <w:tcW w:type="dxa" w:w="3118"/>
          </w:tcPr>
          <w:p>
            <w:r/>
            <w:r>
              <w:rPr>
                <w:rFonts w:ascii="Calibri" w:hAnsi="Calibri" w:cs="Calibri" w:eastAsia="Calibri"/>
                <w:b w:val="0"/>
                <w:i w:val="0"/>
                <w:sz w:val="18"/>
                <w:szCs w:val="18"/>
              </w:rPr>
              <w:t>MD5, SHA-1 for security purposes</w:t>
            </w:r>
          </w:p>
        </w:tc>
      </w:tr>
      <w:tr>
        <w:tc>
          <w:tcPr>
            <w:tcW w:type="dxa" w:w="1984"/>
          </w:tcPr>
          <w:p>
            <w:r/>
            <w:r>
              <w:rPr>
                <w:rFonts w:ascii="Calibri" w:hAnsi="Calibri" w:cs="Calibri" w:eastAsia="Calibri"/>
                <w:b w:val="0"/>
                <w:i w:val="0"/>
                <w:sz w:val="18"/>
                <w:szCs w:val="18"/>
              </w:rPr>
              <w:t>Password storage</w:t>
            </w:r>
          </w:p>
        </w:tc>
        <w:tc>
          <w:tcPr>
            <w:tcW w:type="dxa" w:w="4252"/>
          </w:tcPr>
          <w:p>
            <w:r/>
            <w:r>
              <w:rPr>
                <w:rFonts w:ascii="Calibri" w:hAnsi="Calibri" w:cs="Calibri" w:eastAsia="Calibri"/>
                <w:b w:val="0"/>
                <w:i w:val="0"/>
                <w:sz w:val="18"/>
                <w:szCs w:val="18"/>
              </w:rPr>
              <w:t>Salted adaptive hashing (bcrypt, scrypt, Argon2, PBKDF2)</w:t>
            </w:r>
          </w:p>
        </w:tc>
        <w:tc>
          <w:tcPr>
            <w:tcW w:type="dxa" w:w="3118"/>
          </w:tcPr>
          <w:p>
            <w:r/>
            <w:r>
              <w:rPr>
                <w:rFonts w:ascii="Calibri" w:hAnsi="Calibri" w:cs="Calibri" w:eastAsia="Calibri"/>
                <w:b w:val="0"/>
                <w:i w:val="0"/>
                <w:sz w:val="18"/>
                <w:szCs w:val="18"/>
              </w:rPr>
              <w:t>Plain text, unsalted hashes, reversible encryption</w:t>
            </w:r>
          </w:p>
        </w:tc>
      </w:tr>
      <w:tr>
        <w:tc>
          <w:tcPr>
            <w:tcW w:type="dxa" w:w="1984"/>
          </w:tcPr>
          <w:p>
            <w:r/>
            <w:r>
              <w:rPr>
                <w:rFonts w:ascii="Calibri" w:hAnsi="Calibri" w:cs="Calibri" w:eastAsia="Calibri"/>
                <w:b w:val="0"/>
                <w:i w:val="0"/>
                <w:sz w:val="18"/>
                <w:szCs w:val="18"/>
              </w:rPr>
              <w:t>Public key</w:t>
            </w:r>
          </w:p>
        </w:tc>
        <w:tc>
          <w:tcPr>
            <w:tcW w:type="dxa" w:w="4252"/>
          </w:tcPr>
          <w:p>
            <w:r/>
            <w:r>
              <w:rPr>
                <w:rFonts w:ascii="Calibri" w:hAnsi="Calibri" w:cs="Calibri" w:eastAsia="Calibri"/>
                <w:b w:val="0"/>
                <w:i w:val="0"/>
                <w:sz w:val="18"/>
                <w:szCs w:val="18"/>
              </w:rPr>
              <w:t>RSA 3072 or larger; ECDSA P-256 or larger</w:t>
            </w:r>
          </w:p>
        </w:tc>
        <w:tc>
          <w:tcPr>
            <w:tcW w:type="dxa" w:w="3118"/>
          </w:tcPr>
          <w:p>
            <w:r/>
            <w:r>
              <w:rPr>
                <w:rFonts w:ascii="Calibri" w:hAnsi="Calibri" w:cs="Calibri" w:eastAsia="Calibri"/>
                <w:b w:val="0"/>
                <w:i w:val="0"/>
                <w:sz w:val="18"/>
                <w:szCs w:val="18"/>
              </w:rPr>
              <w:t>RSA below 2048</w:t>
            </w:r>
          </w:p>
        </w:tc>
      </w:tr>
    </w:tbl>
    <w:p>
      <w:pPr>
        <w:spacing w:after="40"/>
      </w:pPr>
    </w:p>
    <w:p>
      <w:pPr>
        <w:pStyle w:val="Heading2"/>
        <w:keepNext/>
        <w:spacing w:before="120" w:after="80"/>
      </w:pPr>
      <w:r>
        <w:rPr>
          <w:rFonts w:ascii="Calibri" w:hAnsi="Calibri" w:cs="Calibri" w:eastAsia="Calibri"/>
          <w:b/>
          <w:i w:val="0"/>
          <w:color w:val="1F3864"/>
          <w:sz w:val="24"/>
          <w:szCs w:val="24"/>
          <w:bCs/>
        </w:rPr>
        <w:t>4.4 Key Management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key life-cycle requirements.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Keys are generated in approved systems (hardware security module or cloud key management service).</w:t>
      </w:r>
    </w:p>
    <w:p>
      <w:pPr>
        <w:pStyle w:val="ListBullet"/>
        <w:spacing w:after="40"/>
      </w:pPr>
      <w:r>
        <w:rPr>
          <w:rFonts w:ascii="Calibri" w:hAnsi="Calibri" w:cs="Calibri" w:eastAsia="Calibri"/>
          <w:b w:val="0"/>
          <w:i w:val="0"/>
          <w:sz w:val="21"/>
          <w:szCs w:val="21"/>
        </w:rPr>
        <w:t>Keys are stored separately from the data they protect and access is limited to named custodians.</w:t>
      </w:r>
    </w:p>
    <w:p>
      <w:pPr>
        <w:pStyle w:val="ListBullet"/>
        <w:spacing w:after="40"/>
      </w:pPr>
      <w:r>
        <w:rPr>
          <w:rFonts w:ascii="Calibri" w:hAnsi="Calibri" w:cs="Calibri" w:eastAsia="Calibri"/>
          <w:b w:val="0"/>
          <w:i w:val="0"/>
          <w:sz w:val="21"/>
          <w:szCs w:val="21"/>
        </w:rPr>
        <w:t>Keys are rotated at least annually or on suspected compromise; certificates are tracked for expiry.</w:t>
      </w:r>
    </w:p>
    <w:p>
      <w:pPr>
        <w:pStyle w:val="ListBullet"/>
        <w:spacing w:after="40"/>
      </w:pPr>
      <w:r>
        <w:rPr>
          <w:rFonts w:ascii="Calibri" w:hAnsi="Calibri" w:cs="Calibri" w:eastAsia="Calibri"/>
          <w:b w:val="0"/>
          <w:i w:val="0"/>
          <w:sz w:val="21"/>
          <w:szCs w:val="21"/>
        </w:rPr>
        <w:t>Key backup and recovery is tested; destroyed keys are recorded.</w:t>
      </w: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Maintain a certificate inventory with automated expiry alerts; expired certificates cause outages.</w:t>
      </w:r>
    </w:p>
    <w:p>
      <w:pPr>
        <w:pStyle w:val="ListBullet"/>
        <w:spacing w:after="40"/>
      </w:pPr>
      <w:r>
        <w:rPr>
          <w:rFonts w:ascii="Calibri" w:hAnsi="Calibri" w:cs="Calibri" w:eastAsia="Calibri"/>
          <w:b w:val="0"/>
          <w:i w:val="0"/>
          <w:sz w:val="21"/>
          <w:szCs w:val="21"/>
        </w:rPr>
        <w:t>Plan for post-quantum cryptography by inventorying where public-key algorithms are used.</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Encryption keys stored on the same server as the encrypted database.</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PR.DS-01: The confidentiality, integrity, and availability of data-at-rest are protected</w:t>
            </w:r>
          </w:p>
          <w:p>
            <w:r>
              <w:rPr>
                <w:rFonts w:ascii="Calibri" w:hAnsi="Calibri" w:cs="Calibri" w:eastAsia="Calibri"/>
                <w:b w:val="0"/>
                <w:i w:val="0"/>
                <w:sz w:val="18"/>
                <w:szCs w:val="18"/>
              </w:rPr>
              <w:t>PR.DS-02: The confidentiality, integrity, and availability of data-in-transit are protected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A.8.24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SC-8, SC-12, SC-13, SC-28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8.24</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PR-POL-003: Data Protection and Classification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PR-STD-005  |  Cryptography and Key Management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