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Backup Standard</w:t>
      </w:r>
    </w:p>
    <w:p>
      <w:pPr>
        <w:spacing w:after="80" w:before="0"/>
      </w:pPr>
      <w:r>
        <w:rPr>
          <w:rFonts w:ascii="Calibri" w:hAnsi="Calibri" w:cs="Calibri" w:eastAsia="Calibri"/>
          <w:b w:val="0"/>
          <w:i w:val="0"/>
          <w:color w:val="595959"/>
          <w:sz w:val="18"/>
          <w:szCs w:val="18"/>
        </w:rPr>
        <w:t>PR-STD-006  |  Standard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Backup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3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3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8.13; CIS Controls v8.1 Control 11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17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3 March 2026</w:t>
            </w:r>
          </w:p>
        </w:tc>
        <w:tc>
          <w:tcPr>
            <w:tcW w:type="dxa" w:w="3742"/>
          </w:tcPr>
          <w:p>
            <w:r/>
            <w:r>
              <w:rPr>
                <w:rFonts w:ascii="Calibri" w:hAnsi="Calibri" w:cs="Calibri" w:eastAsia="Calibri"/>
                <w:b w:val="0"/>
                <w:i w:val="0"/>
                <w:sz w:val="18"/>
                <w:szCs w:val="18"/>
              </w:rPr>
              <w:t>Updated in February 2026 after IA-2025-04 to require monthly HIS restore tests and immutable copies for all critical systems.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backup scope, frequency, retention, protection, and testing so that data can be restored within recovery objectives, including after ransomware (PR.DS-11).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backup requirements by criticality.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850"/>
        <w:gridCol w:w="3685"/>
        <w:gridCol w:w="2721"/>
        <w:gridCol w:w="2097"/>
      </w:tblGrid>
      <w:tr>
        <w:trPr>
          <w:tblHeader w:val="true"/>
        </w:trPr>
        <w:tc>
          <w:tcPr>
            <w:tcW w:type="dxa" w:w="850"/>
            <w:shd w:val="clear" w:color="auto" w:fill="1F3864"/>
          </w:tcPr>
          <w:p>
            <w:r/>
            <w:r>
              <w:rPr>
                <w:rFonts w:ascii="Calibri" w:hAnsi="Calibri" w:cs="Calibri" w:eastAsia="Calibri"/>
                <w:b/>
                <w:i w:val="0"/>
                <w:color w:val="FFFFFF"/>
                <w:sz w:val="18"/>
                <w:szCs w:val="18"/>
                <w:bCs/>
              </w:rPr>
              <w:t>ID</w:t>
            </w:r>
          </w:p>
        </w:tc>
        <w:tc>
          <w:tcPr>
            <w:tcW w:type="dxa" w:w="3685"/>
            <w:shd w:val="clear" w:color="auto" w:fill="1F3864"/>
          </w:tcPr>
          <w:p>
            <w:r/>
            <w:r>
              <w:rPr>
                <w:rFonts w:ascii="Calibri" w:hAnsi="Calibri" w:cs="Calibri" w:eastAsia="Calibri"/>
                <w:b/>
                <w:i w:val="0"/>
                <w:color w:val="FFFFFF"/>
                <w:sz w:val="18"/>
                <w:szCs w:val="18"/>
                <w:bCs/>
              </w:rPr>
              <w:t>Requirement</w:t>
            </w:r>
          </w:p>
        </w:tc>
        <w:tc>
          <w:tcPr>
            <w:tcW w:type="dxa" w:w="2721"/>
            <w:shd w:val="clear" w:color="auto" w:fill="1F3864"/>
          </w:tcPr>
          <w:p>
            <w:r/>
            <w:r>
              <w:rPr>
                <w:rFonts w:ascii="Calibri" w:hAnsi="Calibri" w:cs="Calibri" w:eastAsia="Calibri"/>
                <w:b/>
                <w:i w:val="0"/>
                <w:color w:val="FFFFFF"/>
                <w:sz w:val="18"/>
                <w:szCs w:val="18"/>
                <w:bCs/>
              </w:rPr>
              <w:t>Critical systems</w:t>
            </w:r>
          </w:p>
        </w:tc>
        <w:tc>
          <w:tcPr>
            <w:tcW w:type="dxa" w:w="2098"/>
            <w:shd w:val="clear" w:color="auto" w:fill="1F3864"/>
          </w:tcPr>
          <w:p>
            <w:r/>
            <w:r>
              <w:rPr>
                <w:rFonts w:ascii="Calibri" w:hAnsi="Calibri" w:cs="Calibri" w:eastAsia="Calibri"/>
                <w:b/>
                <w:i w:val="0"/>
                <w:color w:val="FFFFFF"/>
                <w:sz w:val="18"/>
                <w:szCs w:val="18"/>
                <w:bCs/>
              </w:rPr>
              <w:t>Other systems</w:t>
            </w:r>
          </w:p>
        </w:tc>
      </w:tr>
      <w:tr>
        <w:tc>
          <w:tcPr>
            <w:tcW w:type="dxa" w:w="850"/>
          </w:tcPr>
          <w:p>
            <w:r/>
            <w:r>
              <w:rPr>
                <w:rFonts w:ascii="Calibri" w:hAnsi="Calibri" w:cs="Calibri" w:eastAsia="Calibri"/>
                <w:b w:val="0"/>
                <w:i w:val="0"/>
                <w:sz w:val="18"/>
                <w:szCs w:val="18"/>
              </w:rPr>
              <w:t>BK-01</w:t>
            </w:r>
          </w:p>
        </w:tc>
        <w:tc>
          <w:tcPr>
            <w:tcW w:type="dxa" w:w="3685"/>
          </w:tcPr>
          <w:p>
            <w:r/>
            <w:r>
              <w:rPr>
                <w:rFonts w:ascii="Calibri" w:hAnsi="Calibri" w:cs="Calibri" w:eastAsia="Calibri"/>
                <w:b w:val="0"/>
                <w:i w:val="0"/>
                <w:sz w:val="18"/>
                <w:szCs w:val="18"/>
              </w:rPr>
              <w:t>Backup frequency meets RPO from the BIA</w:t>
            </w:r>
          </w:p>
        </w:tc>
        <w:tc>
          <w:tcPr>
            <w:tcW w:type="dxa" w:w="2721"/>
          </w:tcPr>
          <w:p>
            <w:r/>
            <w:r>
              <w:rPr>
                <w:rFonts w:ascii="Calibri" w:hAnsi="Calibri" w:cs="Calibri" w:eastAsia="Calibri"/>
                <w:b w:val="0"/>
                <w:i w:val="0"/>
                <w:sz w:val="18"/>
                <w:szCs w:val="18"/>
              </w:rPr>
              <w:t>At least every 15 minutes (logs) and daily (full or incremental)</w:t>
            </w:r>
          </w:p>
        </w:tc>
        <w:tc>
          <w:tcPr>
            <w:tcW w:type="dxa" w:w="2098"/>
          </w:tcPr>
          <w:p>
            <w:r/>
            <w:r>
              <w:rPr>
                <w:rFonts w:ascii="Calibri" w:hAnsi="Calibri" w:cs="Calibri" w:eastAsia="Calibri"/>
                <w:b w:val="0"/>
                <w:i w:val="0"/>
                <w:sz w:val="18"/>
                <w:szCs w:val="18"/>
              </w:rPr>
              <w:t>Daily</w:t>
            </w:r>
          </w:p>
        </w:tc>
      </w:tr>
      <w:tr>
        <w:tc>
          <w:tcPr>
            <w:tcW w:type="dxa" w:w="850"/>
          </w:tcPr>
          <w:p>
            <w:r/>
            <w:r>
              <w:rPr>
                <w:rFonts w:ascii="Calibri" w:hAnsi="Calibri" w:cs="Calibri" w:eastAsia="Calibri"/>
                <w:b w:val="0"/>
                <w:i w:val="0"/>
                <w:sz w:val="18"/>
                <w:szCs w:val="18"/>
              </w:rPr>
              <w:t>BK-02</w:t>
            </w:r>
          </w:p>
        </w:tc>
        <w:tc>
          <w:tcPr>
            <w:tcW w:type="dxa" w:w="3685"/>
          </w:tcPr>
          <w:p>
            <w:r/>
            <w:r>
              <w:rPr>
                <w:rFonts w:ascii="Calibri" w:hAnsi="Calibri" w:cs="Calibri" w:eastAsia="Calibri"/>
                <w:b w:val="0"/>
                <w:i w:val="0"/>
                <w:sz w:val="18"/>
                <w:szCs w:val="18"/>
              </w:rPr>
              <w:t>3-2-1 rule: three copies, two media types, one off-site</w:t>
            </w:r>
          </w:p>
        </w:tc>
        <w:tc>
          <w:tcPr>
            <w:tcW w:type="dxa" w:w="2721"/>
          </w:tcPr>
          <w:p>
            <w:r/>
            <w:r>
              <w:rPr>
                <w:rFonts w:ascii="Calibri" w:hAnsi="Calibri" w:cs="Calibri" w:eastAsia="Calibri"/>
                <w:b w:val="0"/>
                <w:i w:val="0"/>
                <w:sz w:val="18"/>
                <w:szCs w:val="18"/>
              </w:rPr>
              <w:t>Required</w:t>
            </w:r>
          </w:p>
        </w:tc>
        <w:tc>
          <w:tcPr>
            <w:tcW w:type="dxa" w:w="2098"/>
          </w:tcPr>
          <w:p>
            <w:r/>
            <w:r>
              <w:rPr>
                <w:rFonts w:ascii="Calibri" w:hAnsi="Calibri" w:cs="Calibri" w:eastAsia="Calibri"/>
                <w:b w:val="0"/>
                <w:i w:val="0"/>
                <w:sz w:val="18"/>
                <w:szCs w:val="18"/>
              </w:rPr>
              <w:t>Required</w:t>
            </w:r>
          </w:p>
        </w:tc>
      </w:tr>
      <w:tr>
        <w:tc>
          <w:tcPr>
            <w:tcW w:type="dxa" w:w="850"/>
          </w:tcPr>
          <w:p>
            <w:r/>
            <w:r>
              <w:rPr>
                <w:rFonts w:ascii="Calibri" w:hAnsi="Calibri" w:cs="Calibri" w:eastAsia="Calibri"/>
                <w:b w:val="0"/>
                <w:i w:val="0"/>
                <w:sz w:val="18"/>
                <w:szCs w:val="18"/>
              </w:rPr>
              <w:t>BK-03</w:t>
            </w:r>
          </w:p>
        </w:tc>
        <w:tc>
          <w:tcPr>
            <w:tcW w:type="dxa" w:w="3685"/>
          </w:tcPr>
          <w:p>
            <w:r/>
            <w:r>
              <w:rPr>
                <w:rFonts w:ascii="Calibri" w:hAnsi="Calibri" w:cs="Calibri" w:eastAsia="Calibri"/>
                <w:b w:val="0"/>
                <w:i w:val="0"/>
                <w:sz w:val="18"/>
                <w:szCs w:val="18"/>
              </w:rPr>
              <w:t>At least one copy immutable or offline (air-gapped)</w:t>
            </w:r>
          </w:p>
        </w:tc>
        <w:tc>
          <w:tcPr>
            <w:tcW w:type="dxa" w:w="2721"/>
          </w:tcPr>
          <w:p>
            <w:r/>
            <w:r>
              <w:rPr>
                <w:rFonts w:ascii="Calibri" w:hAnsi="Calibri" w:cs="Calibri" w:eastAsia="Calibri"/>
                <w:b w:val="0"/>
                <w:i w:val="0"/>
                <w:sz w:val="18"/>
                <w:szCs w:val="18"/>
              </w:rPr>
              <w:t>Required</w:t>
            </w:r>
          </w:p>
        </w:tc>
        <w:tc>
          <w:tcPr>
            <w:tcW w:type="dxa" w:w="2098"/>
          </w:tcPr>
          <w:p>
            <w:r/>
            <w:r>
              <w:rPr>
                <w:rFonts w:ascii="Calibri" w:hAnsi="Calibri" w:cs="Calibri" w:eastAsia="Calibri"/>
                <w:b w:val="0"/>
                <w:i w:val="0"/>
                <w:sz w:val="18"/>
                <w:szCs w:val="18"/>
              </w:rPr>
              <w:t>Recommended</w:t>
            </w:r>
          </w:p>
        </w:tc>
      </w:tr>
      <w:tr>
        <w:tc>
          <w:tcPr>
            <w:tcW w:type="dxa" w:w="850"/>
          </w:tcPr>
          <w:p>
            <w:r/>
            <w:r>
              <w:rPr>
                <w:rFonts w:ascii="Calibri" w:hAnsi="Calibri" w:cs="Calibri" w:eastAsia="Calibri"/>
                <w:b w:val="0"/>
                <w:i w:val="0"/>
                <w:sz w:val="18"/>
                <w:szCs w:val="18"/>
              </w:rPr>
              <w:t>BK-04</w:t>
            </w:r>
          </w:p>
        </w:tc>
        <w:tc>
          <w:tcPr>
            <w:tcW w:type="dxa" w:w="3685"/>
          </w:tcPr>
          <w:p>
            <w:r/>
            <w:r>
              <w:rPr>
                <w:rFonts w:ascii="Calibri" w:hAnsi="Calibri" w:cs="Calibri" w:eastAsia="Calibri"/>
                <w:b w:val="0"/>
                <w:i w:val="0"/>
                <w:sz w:val="18"/>
                <w:szCs w:val="18"/>
              </w:rPr>
              <w:t>Backups encrypted (AES-256)</w:t>
            </w:r>
          </w:p>
        </w:tc>
        <w:tc>
          <w:tcPr>
            <w:tcW w:type="dxa" w:w="2721"/>
          </w:tcPr>
          <w:p>
            <w:r/>
            <w:r>
              <w:rPr>
                <w:rFonts w:ascii="Calibri" w:hAnsi="Calibri" w:cs="Calibri" w:eastAsia="Calibri"/>
                <w:b w:val="0"/>
                <w:i w:val="0"/>
                <w:sz w:val="18"/>
                <w:szCs w:val="18"/>
              </w:rPr>
              <w:t>Required</w:t>
            </w:r>
          </w:p>
        </w:tc>
        <w:tc>
          <w:tcPr>
            <w:tcW w:type="dxa" w:w="2098"/>
          </w:tcPr>
          <w:p>
            <w:r/>
            <w:r>
              <w:rPr>
                <w:rFonts w:ascii="Calibri" w:hAnsi="Calibri" w:cs="Calibri" w:eastAsia="Calibri"/>
                <w:b w:val="0"/>
                <w:i w:val="0"/>
                <w:sz w:val="18"/>
                <w:szCs w:val="18"/>
              </w:rPr>
              <w:t>Required</w:t>
            </w:r>
          </w:p>
        </w:tc>
      </w:tr>
      <w:tr>
        <w:tc>
          <w:tcPr>
            <w:tcW w:type="dxa" w:w="850"/>
          </w:tcPr>
          <w:p>
            <w:r/>
            <w:r>
              <w:rPr>
                <w:rFonts w:ascii="Calibri" w:hAnsi="Calibri" w:cs="Calibri" w:eastAsia="Calibri"/>
                <w:b w:val="0"/>
                <w:i w:val="0"/>
                <w:sz w:val="18"/>
                <w:szCs w:val="18"/>
              </w:rPr>
              <w:t>BK-05</w:t>
            </w:r>
          </w:p>
        </w:tc>
        <w:tc>
          <w:tcPr>
            <w:tcW w:type="dxa" w:w="3685"/>
          </w:tcPr>
          <w:p>
            <w:r/>
            <w:r>
              <w:rPr>
                <w:rFonts w:ascii="Calibri" w:hAnsi="Calibri" w:cs="Calibri" w:eastAsia="Calibri"/>
                <w:b w:val="0"/>
                <w:i w:val="0"/>
                <w:sz w:val="18"/>
                <w:szCs w:val="18"/>
              </w:rPr>
              <w:t>Backup admin accounts separate from the domain, with MFA</w:t>
            </w:r>
          </w:p>
        </w:tc>
        <w:tc>
          <w:tcPr>
            <w:tcW w:type="dxa" w:w="2721"/>
          </w:tcPr>
          <w:p>
            <w:r/>
            <w:r>
              <w:rPr>
                <w:rFonts w:ascii="Calibri" w:hAnsi="Calibri" w:cs="Calibri" w:eastAsia="Calibri"/>
                <w:b w:val="0"/>
                <w:i w:val="0"/>
                <w:sz w:val="18"/>
                <w:szCs w:val="18"/>
              </w:rPr>
              <w:t>Required</w:t>
            </w:r>
          </w:p>
        </w:tc>
        <w:tc>
          <w:tcPr>
            <w:tcW w:type="dxa" w:w="2098"/>
          </w:tcPr>
          <w:p>
            <w:r/>
            <w:r>
              <w:rPr>
                <w:rFonts w:ascii="Calibri" w:hAnsi="Calibri" w:cs="Calibri" w:eastAsia="Calibri"/>
                <w:b w:val="0"/>
                <w:i w:val="0"/>
                <w:sz w:val="18"/>
                <w:szCs w:val="18"/>
              </w:rPr>
              <w:t>Required</w:t>
            </w:r>
          </w:p>
        </w:tc>
      </w:tr>
      <w:tr>
        <w:tc>
          <w:tcPr>
            <w:tcW w:type="dxa" w:w="850"/>
          </w:tcPr>
          <w:p>
            <w:r/>
            <w:r>
              <w:rPr>
                <w:rFonts w:ascii="Calibri" w:hAnsi="Calibri" w:cs="Calibri" w:eastAsia="Calibri"/>
                <w:b w:val="0"/>
                <w:i w:val="0"/>
                <w:sz w:val="18"/>
                <w:szCs w:val="18"/>
              </w:rPr>
              <w:t>BK-06</w:t>
            </w:r>
          </w:p>
        </w:tc>
        <w:tc>
          <w:tcPr>
            <w:tcW w:type="dxa" w:w="3685"/>
          </w:tcPr>
          <w:p>
            <w:r/>
            <w:r>
              <w:rPr>
                <w:rFonts w:ascii="Calibri" w:hAnsi="Calibri" w:cs="Calibri" w:eastAsia="Calibri"/>
                <w:b w:val="0"/>
                <w:i w:val="0"/>
                <w:sz w:val="18"/>
                <w:szCs w:val="18"/>
              </w:rPr>
              <w:t>Retention</w:t>
            </w:r>
          </w:p>
        </w:tc>
        <w:tc>
          <w:tcPr>
            <w:tcW w:type="dxa" w:w="2721"/>
          </w:tcPr>
          <w:p>
            <w:r/>
            <w:r>
              <w:rPr>
                <w:rFonts w:ascii="Calibri" w:hAnsi="Calibri" w:cs="Calibri" w:eastAsia="Calibri"/>
                <w:b w:val="0"/>
                <w:i w:val="0"/>
                <w:sz w:val="18"/>
                <w:szCs w:val="18"/>
              </w:rPr>
              <w:t>Daily 30 days; monthly 12 months; yearly per legal retention</w:t>
            </w:r>
          </w:p>
        </w:tc>
        <w:tc>
          <w:tcPr>
            <w:tcW w:type="dxa" w:w="2098"/>
          </w:tcPr>
          <w:p>
            <w:r/>
            <w:r>
              <w:rPr>
                <w:rFonts w:ascii="Calibri" w:hAnsi="Calibri" w:cs="Calibri" w:eastAsia="Calibri"/>
                <w:b w:val="0"/>
                <w:i w:val="0"/>
                <w:sz w:val="18"/>
                <w:szCs w:val="18"/>
              </w:rPr>
              <w:t>Daily 14 days; monthly 6 months</w:t>
            </w:r>
          </w:p>
        </w:tc>
      </w:tr>
      <w:tr>
        <w:tc>
          <w:tcPr>
            <w:tcW w:type="dxa" w:w="850"/>
          </w:tcPr>
          <w:p>
            <w:r/>
            <w:r>
              <w:rPr>
                <w:rFonts w:ascii="Calibri" w:hAnsi="Calibri" w:cs="Calibri" w:eastAsia="Calibri"/>
                <w:b w:val="0"/>
                <w:i w:val="0"/>
                <w:sz w:val="18"/>
                <w:szCs w:val="18"/>
              </w:rPr>
              <w:t>BK-07</w:t>
            </w:r>
          </w:p>
        </w:tc>
        <w:tc>
          <w:tcPr>
            <w:tcW w:type="dxa" w:w="3685"/>
          </w:tcPr>
          <w:p>
            <w:r/>
            <w:r>
              <w:rPr>
                <w:rFonts w:ascii="Calibri" w:hAnsi="Calibri" w:cs="Calibri" w:eastAsia="Calibri"/>
                <w:b w:val="0"/>
                <w:i w:val="0"/>
                <w:sz w:val="18"/>
                <w:szCs w:val="18"/>
              </w:rPr>
              <w:t>Restore testing</w:t>
            </w:r>
          </w:p>
        </w:tc>
        <w:tc>
          <w:tcPr>
            <w:tcW w:type="dxa" w:w="2721"/>
          </w:tcPr>
          <w:p>
            <w:r/>
            <w:r>
              <w:rPr>
                <w:rFonts w:ascii="Calibri" w:hAnsi="Calibri" w:cs="Calibri" w:eastAsia="Calibri"/>
                <w:b w:val="0"/>
                <w:i w:val="0"/>
                <w:sz w:val="18"/>
                <w:szCs w:val="18"/>
              </w:rPr>
              <w:t>Monthly sample; full system annually</w:t>
            </w:r>
          </w:p>
        </w:tc>
        <w:tc>
          <w:tcPr>
            <w:tcW w:type="dxa" w:w="2098"/>
          </w:tcPr>
          <w:p>
            <w:r/>
            <w:r>
              <w:rPr>
                <w:rFonts w:ascii="Calibri" w:hAnsi="Calibri" w:cs="Calibri" w:eastAsia="Calibri"/>
                <w:b w:val="0"/>
                <w:i w:val="0"/>
                <w:sz w:val="18"/>
                <w:szCs w:val="18"/>
              </w:rPr>
              <w:t>Quarterly sample</w:t>
            </w:r>
          </w:p>
        </w:tc>
      </w:tr>
      <w:tr>
        <w:tc>
          <w:tcPr>
            <w:tcW w:type="dxa" w:w="850"/>
          </w:tcPr>
          <w:p>
            <w:r/>
            <w:r>
              <w:rPr>
                <w:rFonts w:ascii="Calibri" w:hAnsi="Calibri" w:cs="Calibri" w:eastAsia="Calibri"/>
                <w:b w:val="0"/>
                <w:i w:val="0"/>
                <w:sz w:val="18"/>
                <w:szCs w:val="18"/>
              </w:rPr>
              <w:t>BK-08</w:t>
            </w:r>
          </w:p>
        </w:tc>
        <w:tc>
          <w:tcPr>
            <w:tcW w:type="dxa" w:w="3685"/>
          </w:tcPr>
          <w:p>
            <w:r/>
            <w:r>
              <w:rPr>
                <w:rFonts w:ascii="Calibri" w:hAnsi="Calibri" w:cs="Calibri" w:eastAsia="Calibri"/>
                <w:b w:val="0"/>
                <w:i w:val="0"/>
                <w:sz w:val="18"/>
                <w:szCs w:val="18"/>
              </w:rPr>
              <w:t>Backup job monitoring</w:t>
            </w:r>
          </w:p>
        </w:tc>
        <w:tc>
          <w:tcPr>
            <w:tcW w:type="dxa" w:w="2721"/>
          </w:tcPr>
          <w:p>
            <w:r/>
            <w:r>
              <w:rPr>
                <w:rFonts w:ascii="Calibri" w:hAnsi="Calibri" w:cs="Calibri" w:eastAsia="Calibri"/>
                <w:b w:val="0"/>
                <w:i w:val="0"/>
                <w:sz w:val="18"/>
                <w:szCs w:val="18"/>
              </w:rPr>
              <w:t>Failures alerted and fixed within 1 working day</w:t>
            </w:r>
          </w:p>
        </w:tc>
        <w:tc>
          <w:tcPr>
            <w:tcW w:type="dxa" w:w="2098"/>
          </w:tcPr>
          <w:p>
            <w:r/>
            <w:r>
              <w:rPr>
                <w:rFonts w:ascii="Calibri" w:hAnsi="Calibri" w:cs="Calibri" w:eastAsia="Calibri"/>
                <w:b w:val="0"/>
                <w:i w:val="0"/>
                <w:sz w:val="18"/>
                <w:szCs w:val="18"/>
              </w:rPr>
              <w:t>Within 3 working days</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Protect backup infrastructure as a Tier 0 asset; attackers target backups before encrypting.</w:t>
      </w:r>
    </w:p>
    <w:p>
      <w:pPr>
        <w:pStyle w:val="ListBullet"/>
        <w:spacing w:after="40"/>
      </w:pPr>
      <w:r>
        <w:rPr>
          <w:rFonts w:ascii="Calibri" w:hAnsi="Calibri" w:cs="Calibri" w:eastAsia="Calibri"/>
          <w:b w:val="0"/>
          <w:i w:val="0"/>
          <w:sz w:val="21"/>
          <w:szCs w:val="21"/>
        </w:rPr>
        <w:t>Test restores of whole systems, including application start-up, not only file recovery.</w:t>
      </w:r>
    </w:p>
    <w:p>
      <w:pPr>
        <w:pStyle w:val="ListBullet"/>
        <w:spacing w:after="40"/>
      </w:pPr>
      <w:r>
        <w:rPr>
          <w:rFonts w:ascii="Calibri" w:hAnsi="Calibri" w:cs="Calibri" w:eastAsia="Calibri"/>
          <w:b w:val="0"/>
          <w:i w:val="0"/>
          <w:sz w:val="21"/>
          <w:szCs w:val="21"/>
        </w:rPr>
        <w:t>Back up SaaS data (such as email) that the provider does not fully protect.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Backups joined to the same domain as production, so ransomware encrypts both.</w:t>
      </w:r>
    </w:p>
    <w:p>
      <w:pPr>
        <w:pStyle w:val="ListBullet"/>
        <w:spacing w:after="40"/>
      </w:pPr>
      <w:r>
        <w:rPr>
          <w:rFonts w:ascii="Calibri" w:hAnsi="Calibri" w:cs="Calibri" w:eastAsia="Calibri"/>
          <w:b w:val="0"/>
          <w:i w:val="0"/>
          <w:sz w:val="21"/>
          <w:szCs w:val="21"/>
        </w:rPr>
        <w:t>Backup success is measured by job status, never by restore tests.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PR.DS-11: Backups of data are created, protected, maintained, and tested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8.13; CIS Controls v8.1 Control 11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PR-POL-003: Data Protection and Classification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PR-PRC-005: Backup and Restore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PR-STD-006  |  Backup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