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Data Retention and Disposal Standard</w:t>
      </w:r>
    </w:p>
    <w:p>
      <w:pPr>
        <w:spacing w:after="80" w:before="0"/>
      </w:pPr>
      <w:r>
        <w:rPr>
          <w:rFonts w:ascii="Calibri" w:hAnsi="Calibri" w:cs="Calibri" w:eastAsia="Calibri"/>
          <w:b w:val="0"/>
          <w:i w:val="0"/>
          <w:color w:val="595959"/>
          <w:sz w:val="18"/>
          <w:szCs w:val="18"/>
        </w:rPr>
        <w:t>PR-STD-007  |  Standard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Data Retention and Disposal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9 May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9 May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s.37(3); ISO/IEC 27001:2022 Annex A 5.33 and 8.10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11 April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9 May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retention periods for key record types and the methods for secure deletion when retention ends, consistent with PDPA s.37(3) and other legal retention duties.</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Retention Schedule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retention periods with legal basis for key record types.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2268"/>
        <w:gridCol w:w="2835"/>
        <w:gridCol w:w="1701"/>
      </w:tblGrid>
      <w:tr>
        <w:trPr>
          <w:tblHeader w:val="true"/>
        </w:trPr>
        <w:tc>
          <w:tcPr>
            <w:tcW w:type="dxa" w:w="2551"/>
            <w:shd w:val="clear" w:color="auto" w:fill="1F3864"/>
          </w:tcPr>
          <w:p>
            <w:r/>
            <w:r>
              <w:rPr>
                <w:rFonts w:ascii="Calibri" w:hAnsi="Calibri" w:cs="Calibri" w:eastAsia="Calibri"/>
                <w:b/>
                <w:i w:val="0"/>
                <w:color w:val="FFFFFF"/>
                <w:sz w:val="18"/>
                <w:szCs w:val="18"/>
                <w:bCs/>
              </w:rPr>
              <w:t>Record type</w:t>
            </w:r>
          </w:p>
        </w:tc>
        <w:tc>
          <w:tcPr>
            <w:tcW w:type="dxa" w:w="2268"/>
            <w:shd w:val="clear" w:color="auto" w:fill="1F3864"/>
          </w:tcPr>
          <w:p>
            <w:r/>
            <w:r>
              <w:rPr>
                <w:rFonts w:ascii="Calibri" w:hAnsi="Calibri" w:cs="Calibri" w:eastAsia="Calibri"/>
                <w:b/>
                <w:i w:val="0"/>
                <w:color w:val="FFFFFF"/>
                <w:sz w:val="18"/>
                <w:szCs w:val="18"/>
                <w:bCs/>
              </w:rPr>
              <w:t>Retention</w:t>
            </w:r>
          </w:p>
        </w:tc>
        <w:tc>
          <w:tcPr>
            <w:tcW w:type="dxa" w:w="2835"/>
            <w:shd w:val="clear" w:color="auto" w:fill="1F3864"/>
          </w:tcPr>
          <w:p>
            <w:r/>
            <w:r>
              <w:rPr>
                <w:rFonts w:ascii="Calibri" w:hAnsi="Calibri" w:cs="Calibri" w:eastAsia="Calibri"/>
                <w:b/>
                <w:i w:val="0"/>
                <w:color w:val="FFFFFF"/>
                <w:sz w:val="18"/>
                <w:szCs w:val="18"/>
                <w:bCs/>
              </w:rPr>
              <w:t>Basis</w:t>
            </w:r>
          </w:p>
        </w:tc>
        <w:tc>
          <w:tcPr>
            <w:tcW w:type="dxa" w:w="1701"/>
            <w:shd w:val="clear" w:color="auto" w:fill="1F3864"/>
          </w:tcPr>
          <w:p>
            <w:r/>
            <w:r>
              <w:rPr>
                <w:rFonts w:ascii="Calibri" w:hAnsi="Calibri" w:cs="Calibri" w:eastAsia="Calibri"/>
                <w:b/>
                <w:i w:val="0"/>
                <w:color w:val="FFFFFF"/>
                <w:sz w:val="18"/>
                <w:szCs w:val="18"/>
                <w:bCs/>
              </w:rPr>
              <w:t>Owner</w:t>
            </w:r>
          </w:p>
        </w:tc>
      </w:tr>
      <w:tr>
        <w:tc>
          <w:tcPr>
            <w:tcW w:type="dxa" w:w="2551"/>
          </w:tcPr>
          <w:p>
            <w:r/>
            <w:r>
              <w:rPr>
                <w:rFonts w:ascii="Calibri" w:hAnsi="Calibri" w:cs="Calibri" w:eastAsia="Calibri"/>
                <w:b w:val="0"/>
                <w:i w:val="0"/>
                <w:sz w:val="18"/>
                <w:szCs w:val="18"/>
              </w:rPr>
              <w:t>Patient and guest Wi-Fi traffic data</w:t>
            </w:r>
          </w:p>
        </w:tc>
        <w:tc>
          <w:tcPr>
            <w:tcW w:type="dxa" w:w="2268"/>
          </w:tcPr>
          <w:p>
            <w:r/>
            <w:r>
              <w:rPr>
                <w:rFonts w:ascii="Calibri" w:hAnsi="Calibri" w:cs="Calibri" w:eastAsia="Calibri"/>
                <w:b w:val="0"/>
                <w:i w:val="0"/>
                <w:sz w:val="18"/>
                <w:szCs w:val="18"/>
              </w:rPr>
              <w:t>90 days</w:t>
            </w:r>
          </w:p>
        </w:tc>
        <w:tc>
          <w:tcPr>
            <w:tcW w:type="dxa" w:w="2835"/>
          </w:tcPr>
          <w:p>
            <w:r/>
            <w:r>
              <w:rPr>
                <w:rFonts w:ascii="Calibri" w:hAnsi="Calibri" w:cs="Calibri" w:eastAsia="Calibri"/>
                <w:b w:val="0"/>
                <w:i w:val="0"/>
                <w:sz w:val="18"/>
                <w:szCs w:val="18"/>
              </w:rPr>
              <w:t>Computer Crime Act B.E. 2550 s.26</w:t>
            </w:r>
          </w:p>
        </w:tc>
        <w:tc>
          <w:tcPr>
            <w:tcW w:type="dxa" w:w="1701"/>
          </w:tcPr>
          <w:p>
            <w:r/>
            <w:r>
              <w:rPr>
                <w:rFonts w:ascii="Calibri" w:hAnsi="Calibri" w:cs="Calibri" w:eastAsia="Calibri"/>
                <w:b w:val="0"/>
                <w:i w:val="0"/>
                <w:sz w:val="18"/>
                <w:szCs w:val="18"/>
              </w:rPr>
              <w:t>IT Infrastructure Manager</w:t>
            </w:r>
          </w:p>
        </w:tc>
      </w:tr>
      <w:tr>
        <w:tc>
          <w:tcPr>
            <w:tcW w:type="dxa" w:w="2551"/>
          </w:tcPr>
          <w:p>
            <w:r/>
            <w:r>
              <w:rPr>
                <w:rFonts w:ascii="Calibri" w:hAnsi="Calibri" w:cs="Calibri" w:eastAsia="Calibri"/>
                <w:b w:val="0"/>
                <w:i w:val="0"/>
                <w:sz w:val="18"/>
                <w:szCs w:val="18"/>
              </w:rPr>
              <w:t>Security logs (SIEM)</w:t>
            </w:r>
          </w:p>
        </w:tc>
        <w:tc>
          <w:tcPr>
            <w:tcW w:type="dxa" w:w="2268"/>
          </w:tcPr>
          <w:p>
            <w:r/>
            <w:r>
              <w:rPr>
                <w:rFonts w:ascii="Calibri" w:hAnsi="Calibri" w:cs="Calibri" w:eastAsia="Calibri"/>
                <w:b w:val="0"/>
                <w:i w:val="0"/>
                <w:sz w:val="18"/>
                <w:szCs w:val="18"/>
              </w:rPr>
              <w:t>1 year online; 2 years archive</w:t>
            </w:r>
          </w:p>
        </w:tc>
        <w:tc>
          <w:tcPr>
            <w:tcW w:type="dxa" w:w="2835"/>
          </w:tcPr>
          <w:p>
            <w:r/>
            <w:r>
              <w:rPr>
                <w:rFonts w:ascii="Calibri" w:hAnsi="Calibri" w:cs="Calibri" w:eastAsia="Calibri"/>
                <w:b w:val="0"/>
                <w:i w:val="0"/>
                <w:sz w:val="18"/>
                <w:szCs w:val="18"/>
              </w:rPr>
              <w:t>CMC incident investigation needs</w:t>
            </w:r>
          </w:p>
        </w:tc>
        <w:tc>
          <w:tcPr>
            <w:tcW w:type="dxa" w:w="1701"/>
          </w:tcPr>
          <w:p>
            <w:r/>
            <w:r>
              <w:rPr>
                <w:rFonts w:ascii="Calibri" w:hAnsi="Calibri" w:cs="Calibri" w:eastAsia="Calibri"/>
                <w:b w:val="0"/>
                <w:i w:val="0"/>
                <w:sz w:val="18"/>
                <w:szCs w:val="18"/>
              </w:rPr>
              <w:t>Security Manager</w:t>
            </w:r>
          </w:p>
        </w:tc>
      </w:tr>
      <w:tr>
        <w:tc>
          <w:tcPr>
            <w:tcW w:type="dxa" w:w="2551"/>
          </w:tcPr>
          <w:p>
            <w:r/>
            <w:r>
              <w:rPr>
                <w:rFonts w:ascii="Calibri" w:hAnsi="Calibri" w:cs="Calibri" w:eastAsia="Calibri"/>
                <w:b w:val="0"/>
                <w:i w:val="0"/>
                <w:sz w:val="18"/>
                <w:szCs w:val="18"/>
              </w:rPr>
              <w:t>Medical records</w:t>
            </w:r>
          </w:p>
        </w:tc>
        <w:tc>
          <w:tcPr>
            <w:tcW w:type="dxa" w:w="2268"/>
          </w:tcPr>
          <w:p>
            <w:r/>
            <w:r>
              <w:rPr>
                <w:rFonts w:ascii="Calibri" w:hAnsi="Calibri" w:cs="Calibri" w:eastAsia="Calibri"/>
                <w:b w:val="0"/>
                <w:i w:val="0"/>
                <w:sz w:val="18"/>
                <w:szCs w:val="18"/>
              </w:rPr>
              <w:t>Per MOPH and HA requirements [VERIFY]</w:t>
            </w:r>
          </w:p>
        </w:tc>
        <w:tc>
          <w:tcPr>
            <w:tcW w:type="dxa" w:w="2835"/>
          </w:tcPr>
          <w:p>
            <w:r/>
            <w:r>
              <w:rPr>
                <w:rFonts w:ascii="Calibri" w:hAnsi="Calibri" w:cs="Calibri" w:eastAsia="Calibri"/>
                <w:b w:val="0"/>
                <w:i w:val="0"/>
                <w:sz w:val="18"/>
                <w:szCs w:val="18"/>
              </w:rPr>
              <w:t>Health regulations [VERIFY]</w:t>
            </w:r>
          </w:p>
        </w:tc>
        <w:tc>
          <w:tcPr>
            <w:tcW w:type="dxa" w:w="1701"/>
          </w:tcPr>
          <w:p>
            <w:r/>
            <w:r>
              <w:rPr>
                <w:rFonts w:ascii="Calibri" w:hAnsi="Calibri" w:cs="Calibri" w:eastAsia="Calibri"/>
                <w:b w:val="0"/>
                <w:i w:val="0"/>
                <w:sz w:val="18"/>
                <w:szCs w:val="18"/>
              </w:rPr>
              <w:t>Director of Medical Records</w:t>
            </w:r>
          </w:p>
        </w:tc>
      </w:tr>
      <w:tr>
        <w:tc>
          <w:tcPr>
            <w:tcW w:type="dxa" w:w="2551"/>
          </w:tcPr>
          <w:p>
            <w:r/>
            <w:r>
              <w:rPr>
                <w:rFonts w:ascii="Calibri" w:hAnsi="Calibri" w:cs="Calibri" w:eastAsia="Calibri"/>
                <w:b w:val="0"/>
                <w:i w:val="0"/>
                <w:sz w:val="18"/>
                <w:szCs w:val="18"/>
              </w:rPr>
              <w:t>HIS access audit logs</w:t>
            </w:r>
          </w:p>
        </w:tc>
        <w:tc>
          <w:tcPr>
            <w:tcW w:type="dxa" w:w="2268"/>
          </w:tcPr>
          <w:p>
            <w:r/>
            <w:r>
              <w:rPr>
                <w:rFonts w:ascii="Calibri" w:hAnsi="Calibri" w:cs="Calibri" w:eastAsia="Calibri"/>
                <w:b w:val="0"/>
                <w:i w:val="0"/>
                <w:sz w:val="18"/>
                <w:szCs w:val="18"/>
              </w:rPr>
              <w:t>2 years</w:t>
            </w:r>
          </w:p>
        </w:tc>
        <w:tc>
          <w:tcPr>
            <w:tcW w:type="dxa" w:w="2835"/>
          </w:tcPr>
          <w:p>
            <w:r/>
            <w:r>
              <w:rPr>
                <w:rFonts w:ascii="Calibri" w:hAnsi="Calibri" w:cs="Calibri" w:eastAsia="Calibri"/>
                <w:b w:val="0"/>
                <w:i w:val="0"/>
                <w:sz w:val="18"/>
                <w:szCs w:val="18"/>
              </w:rPr>
              <w:t>Privacy investigations; PDPC Security Measures Notification</w:t>
            </w:r>
          </w:p>
        </w:tc>
        <w:tc>
          <w:tcPr>
            <w:tcW w:type="dxa" w:w="1701"/>
          </w:tcPr>
          <w:p>
            <w:r/>
            <w:r>
              <w:rPr>
                <w:rFonts w:ascii="Calibri" w:hAnsi="Calibri" w:cs="Calibri" w:eastAsia="Calibri"/>
                <w:b w:val="0"/>
                <w:i w:val="0"/>
                <w:sz w:val="18"/>
                <w:szCs w:val="18"/>
              </w:rPr>
              <w:t>DPO</w:t>
            </w:r>
          </w:p>
        </w:tc>
      </w:tr>
      <w:tr>
        <w:tc>
          <w:tcPr>
            <w:tcW w:type="dxa" w:w="2551"/>
          </w:tcPr>
          <w:p>
            <w:r/>
            <w:r>
              <w:rPr>
                <w:rFonts w:ascii="Calibri" w:hAnsi="Calibri" w:cs="Calibri" w:eastAsia="Calibri"/>
                <w:b w:val="0"/>
                <w:i w:val="0"/>
                <w:sz w:val="18"/>
                <w:szCs w:val="18"/>
              </w:rPr>
              <w:t>CCTV footage</w:t>
            </w:r>
          </w:p>
        </w:tc>
        <w:tc>
          <w:tcPr>
            <w:tcW w:type="dxa" w:w="2268"/>
          </w:tcPr>
          <w:p>
            <w:r/>
            <w:r>
              <w:rPr>
                <w:rFonts w:ascii="Calibri" w:hAnsi="Calibri" w:cs="Calibri" w:eastAsia="Calibri"/>
                <w:b w:val="0"/>
                <w:i w:val="0"/>
                <w:sz w:val="18"/>
                <w:szCs w:val="18"/>
              </w:rPr>
              <w:t>30 days unless needed for an incident</w:t>
            </w:r>
          </w:p>
        </w:tc>
        <w:tc>
          <w:tcPr>
            <w:tcW w:type="dxa" w:w="2835"/>
          </w:tcPr>
          <w:p>
            <w:r/>
            <w:r>
              <w:rPr>
                <w:rFonts w:ascii="Calibri" w:hAnsi="Calibri" w:cs="Calibri" w:eastAsia="Calibri"/>
                <w:b w:val="0"/>
                <w:i w:val="0"/>
                <w:sz w:val="18"/>
                <w:szCs w:val="18"/>
              </w:rPr>
              <w:t>Data minimization</w:t>
            </w:r>
          </w:p>
        </w:tc>
        <w:tc>
          <w:tcPr>
            <w:tcW w:type="dxa" w:w="1701"/>
          </w:tcPr>
          <w:p>
            <w:r/>
            <w:r>
              <w:rPr>
                <w:rFonts w:ascii="Calibri" w:hAnsi="Calibri" w:cs="Calibri" w:eastAsia="Calibri"/>
                <w:b w:val="0"/>
                <w:i w:val="0"/>
                <w:sz w:val="18"/>
                <w:szCs w:val="18"/>
              </w:rPr>
              <w:t>Facilities and Engineering Manager</w:t>
            </w:r>
          </w:p>
        </w:tc>
      </w:tr>
      <w:tr>
        <w:tc>
          <w:tcPr>
            <w:tcW w:type="dxa" w:w="2551"/>
          </w:tcPr>
          <w:p>
            <w:r/>
            <w:r>
              <w:rPr>
                <w:rFonts w:ascii="Calibri" w:hAnsi="Calibri" w:cs="Calibri" w:eastAsia="Calibri"/>
                <w:b w:val="0"/>
                <w:i w:val="0"/>
                <w:sz w:val="18"/>
                <w:szCs w:val="18"/>
              </w:rPr>
              <w:t>Recruitment records of unsuccessful applicants</w:t>
            </w:r>
          </w:p>
        </w:tc>
        <w:tc>
          <w:tcPr>
            <w:tcW w:type="dxa" w:w="2268"/>
          </w:tcPr>
          <w:p>
            <w:r/>
            <w:r>
              <w:rPr>
                <w:rFonts w:ascii="Calibri" w:hAnsi="Calibri" w:cs="Calibri" w:eastAsia="Calibri"/>
                <w:b w:val="0"/>
                <w:i w:val="0"/>
                <w:sz w:val="18"/>
                <w:szCs w:val="18"/>
              </w:rPr>
              <w:t>1 year</w:t>
            </w:r>
          </w:p>
        </w:tc>
        <w:tc>
          <w:tcPr>
            <w:tcW w:type="dxa" w:w="2835"/>
          </w:tcPr>
          <w:p>
            <w:r/>
            <w:r>
              <w:rPr>
                <w:rFonts w:ascii="Calibri" w:hAnsi="Calibri" w:cs="Calibri" w:eastAsia="Calibri"/>
                <w:b w:val="0"/>
                <w:i w:val="0"/>
                <w:sz w:val="18"/>
                <w:szCs w:val="18"/>
              </w:rPr>
              <w:t>ROPA-HR-03</w:t>
            </w:r>
          </w:p>
        </w:tc>
        <w:tc>
          <w:tcPr>
            <w:tcW w:type="dxa" w:w="1701"/>
          </w:tcPr>
          <w:p>
            <w:r/>
            <w:r>
              <w:rPr>
                <w:rFonts w:ascii="Calibri" w:hAnsi="Calibri" w:cs="Calibri" w:eastAsia="Calibri"/>
                <w:b w:val="0"/>
                <w:i w:val="0"/>
                <w:sz w:val="18"/>
                <w:szCs w:val="18"/>
              </w:rPr>
              <w:t>HR Director</w:t>
            </w:r>
          </w:p>
        </w:tc>
      </w:tr>
    </w:tbl>
    <w:p>
      <w:pPr>
        <w:spacing w:after="40"/>
      </w:pPr>
    </w:p>
    <w:p>
      <w:pPr>
        <w:pStyle w:val="Heading2"/>
        <w:keepNext/>
        <w:spacing w:before="120" w:after="80"/>
      </w:pPr>
      <w:r>
        <w:rPr>
          <w:rFonts w:ascii="Calibri" w:hAnsi="Calibri" w:cs="Calibri" w:eastAsia="Calibri"/>
          <w:b/>
          <w:i w:val="0"/>
          <w:color w:val="1F3864"/>
          <w:sz w:val="24"/>
          <w:szCs w:val="24"/>
          <w:bCs/>
        </w:rPr>
        <w:t>4.4 Disposal Methods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secure deletion and destruction methods.</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Electronic records: delete through system functions with deletion logs; anonymize where analytics needs remain.</w:t>
      </w:r>
    </w:p>
    <w:p>
      <w:pPr>
        <w:pStyle w:val="ListBullet"/>
        <w:spacing w:after="40"/>
      </w:pPr>
      <w:r>
        <w:rPr>
          <w:rFonts w:ascii="Calibri" w:hAnsi="Calibri" w:cs="Calibri" w:eastAsia="Calibri"/>
          <w:b w:val="0"/>
          <w:i w:val="0"/>
          <w:sz w:val="21"/>
          <w:szCs w:val="21"/>
        </w:rPr>
        <w:t>Media: sanitize per NIST SP 800-88 and record in ID-FRM-001.</w:t>
      </w:r>
    </w:p>
    <w:p>
      <w:pPr>
        <w:pStyle w:val="ListBullet"/>
        <w:spacing w:after="40"/>
      </w:pPr>
      <w:r>
        <w:rPr>
          <w:rFonts w:ascii="Calibri" w:hAnsi="Calibri" w:cs="Calibri" w:eastAsia="Calibri"/>
          <w:b w:val="0"/>
          <w:i w:val="0"/>
          <w:sz w:val="21"/>
          <w:szCs w:val="21"/>
        </w:rPr>
        <w:t>Paper: cross-cut shred or certified destruction service.</w:t>
      </w:r>
    </w:p>
    <w:p>
      <w:pPr>
        <w:pStyle w:val="Heading2"/>
        <w:keepNext/>
        <w:spacing w:before="120" w:after="80"/>
      </w:pPr>
      <w:r>
        <w:rPr>
          <w:rFonts w:ascii="Calibri" w:hAnsi="Calibri" w:cs="Calibri" w:eastAsia="Calibri"/>
          <w:b/>
          <w:i w:val="0"/>
          <w:color w:val="1F3864"/>
          <w:sz w:val="24"/>
          <w:szCs w:val="24"/>
          <w:bCs/>
        </w:rPr>
        <w:t>4.5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Have Legal Counsel confirm retention periods; they vary by sector and change over time.</w:t>
      </w:r>
    </w:p>
    <w:p>
      <w:pPr>
        <w:pStyle w:val="ListBullet"/>
        <w:spacing w:after="40"/>
      </w:pPr>
      <w:r>
        <w:rPr>
          <w:rFonts w:ascii="Calibri" w:hAnsi="Calibri" w:cs="Calibri" w:eastAsia="Calibri"/>
          <w:b w:val="0"/>
          <w:i w:val="0"/>
          <w:sz w:val="21"/>
          <w:szCs w:val="21"/>
        </w:rPr>
        <w:t>Automate deletion in systems where possible rather than relying on manual clean-up.</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Keeping everything forever 'just in case', which increases breach impact and conflicts with the PDPA.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PR.DS-01: The confidentiality, integrity, and availability of data-at-rest are protected</w:t>
            </w:r>
          </w:p>
          <w:p>
            <w:r>
              <w:rPr>
                <w:rFonts w:ascii="Calibri" w:hAnsi="Calibri" w:cs="Calibri" w:eastAsia="Calibri"/>
                <w:b w:val="0"/>
                <w:i w:val="0"/>
                <w:sz w:val="18"/>
                <w:szCs w:val="18"/>
              </w:rPr>
              <w:t>ID.AM-08: Systems, hardware, software, services, and data are managed throughout their life cycles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A.5.33, Annex A.8.10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SI-12, MP-6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s.37(3); ISO/IEC 27001:2022 Annex A 5.33 and 8.10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PR-POL-003: Data Protection and Classification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PR-STD-007  |  Data Retention and Disposal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