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Loss Prevention Standard</w:t>
      </w:r>
    </w:p>
    <w:p>
      <w:pPr>
        <w:spacing w:after="80" w:before="0"/>
      </w:pPr>
      <w:r>
        <w:rPr>
          <w:rFonts w:ascii="Calibri" w:hAnsi="Calibri" w:cs="Calibri" w:eastAsia="Calibri"/>
          <w:b w:val="0"/>
          <w:i w:val="0"/>
          <w:color w:val="595959"/>
          <w:sz w:val="18"/>
          <w:szCs w:val="18"/>
        </w:rPr>
        <w:t>PR-STD-008  |  Standard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PR-STD-008</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Loss Prevention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20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20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18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20 August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CMC deferred the DLP project to 2027 after the April 2026 budget reduction (risk R-011). Until then, Microsoft 365 external sharing restrictions and sensitivity labels act as interim controls.</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detecting and preventing unauthorized transfer of sensitive data through email, web, cloud, endpoints, and removable media.</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DLP coverage and response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020"/>
        <w:gridCol w:w="8334"/>
      </w:tblGrid>
      <w:tr>
        <w:trPr>
          <w:tblHeader w:val="true"/>
        </w:trPr>
        <w:tc>
          <w:tcPr>
            <w:tcW w:type="dxa" w:w="1020"/>
            <w:shd w:val="clear" w:color="auto" w:fill="1F3864"/>
          </w:tcPr>
          <w:p>
            <w:r/>
            <w:r>
              <w:rPr>
                <w:rFonts w:ascii="Calibri" w:hAnsi="Calibri" w:cs="Calibri" w:eastAsia="Calibri"/>
                <w:b/>
                <w:i w:val="0"/>
                <w:color w:val="FFFFFF"/>
                <w:sz w:val="18"/>
                <w:szCs w:val="18"/>
                <w:bCs/>
              </w:rPr>
              <w:t>ID</w:t>
            </w:r>
          </w:p>
        </w:tc>
        <w:tc>
          <w:tcPr>
            <w:tcW w:type="dxa" w:w="8334"/>
            <w:shd w:val="clear" w:color="auto" w:fill="1F3864"/>
          </w:tcPr>
          <w:p>
            <w:r/>
            <w:r>
              <w:rPr>
                <w:rFonts w:ascii="Calibri" w:hAnsi="Calibri" w:cs="Calibri" w:eastAsia="Calibri"/>
                <w:b/>
                <w:i w:val="0"/>
                <w:color w:val="FFFFFF"/>
                <w:sz w:val="18"/>
                <w:szCs w:val="18"/>
                <w:bCs/>
              </w:rPr>
              <w:t>Requirement</w:t>
            </w:r>
          </w:p>
        </w:tc>
      </w:tr>
      <w:tr>
        <w:tc>
          <w:tcPr>
            <w:tcW w:type="dxa" w:w="1020"/>
          </w:tcPr>
          <w:p>
            <w:r/>
            <w:r>
              <w:rPr>
                <w:rFonts w:ascii="Calibri" w:hAnsi="Calibri" w:cs="Calibri" w:eastAsia="Calibri"/>
                <w:b w:val="0"/>
                <w:i w:val="0"/>
                <w:sz w:val="18"/>
                <w:szCs w:val="18"/>
              </w:rPr>
              <w:t>DLP-01</w:t>
            </w:r>
          </w:p>
        </w:tc>
        <w:tc>
          <w:tcPr>
            <w:tcW w:type="dxa" w:w="8334"/>
          </w:tcPr>
          <w:p>
            <w:r/>
            <w:r>
              <w:rPr>
                <w:rFonts w:ascii="Calibri" w:hAnsi="Calibri" w:cs="Calibri" w:eastAsia="Calibri"/>
                <w:b w:val="0"/>
                <w:i w:val="0"/>
                <w:sz w:val="18"/>
                <w:szCs w:val="18"/>
              </w:rPr>
              <w:t>Define detection rules for Restricted data types (for example, national ID numbers, bank accounts, health records).</w:t>
            </w:r>
          </w:p>
        </w:tc>
      </w:tr>
      <w:tr>
        <w:tc>
          <w:tcPr>
            <w:tcW w:type="dxa" w:w="1020"/>
          </w:tcPr>
          <w:p>
            <w:r/>
            <w:r>
              <w:rPr>
                <w:rFonts w:ascii="Calibri" w:hAnsi="Calibri" w:cs="Calibri" w:eastAsia="Calibri"/>
                <w:b w:val="0"/>
                <w:i w:val="0"/>
                <w:sz w:val="18"/>
                <w:szCs w:val="18"/>
              </w:rPr>
              <w:t>DLP-02</w:t>
            </w:r>
          </w:p>
        </w:tc>
        <w:tc>
          <w:tcPr>
            <w:tcW w:type="dxa" w:w="8334"/>
          </w:tcPr>
          <w:p>
            <w:r/>
            <w:r>
              <w:rPr>
                <w:rFonts w:ascii="Calibri" w:hAnsi="Calibri" w:cs="Calibri" w:eastAsia="Calibri"/>
                <w:b w:val="0"/>
                <w:i w:val="0"/>
                <w:sz w:val="18"/>
                <w:szCs w:val="18"/>
              </w:rPr>
              <w:t>Monitor outbound email, web uploads, cloud sharing, and removable media for Restricted data.</w:t>
            </w:r>
          </w:p>
        </w:tc>
      </w:tr>
      <w:tr>
        <w:tc>
          <w:tcPr>
            <w:tcW w:type="dxa" w:w="1020"/>
          </w:tcPr>
          <w:p>
            <w:r/>
            <w:r>
              <w:rPr>
                <w:rFonts w:ascii="Calibri" w:hAnsi="Calibri" w:cs="Calibri" w:eastAsia="Calibri"/>
                <w:b w:val="0"/>
                <w:i w:val="0"/>
                <w:sz w:val="18"/>
                <w:szCs w:val="18"/>
              </w:rPr>
              <w:t>DLP-03</w:t>
            </w:r>
          </w:p>
        </w:tc>
        <w:tc>
          <w:tcPr>
            <w:tcW w:type="dxa" w:w="8334"/>
          </w:tcPr>
          <w:p>
            <w:r/>
            <w:r>
              <w:rPr>
                <w:rFonts w:ascii="Calibri" w:hAnsi="Calibri" w:cs="Calibri" w:eastAsia="Calibri"/>
                <w:b w:val="0"/>
                <w:i w:val="0"/>
                <w:sz w:val="18"/>
                <w:szCs w:val="18"/>
              </w:rPr>
              <w:t>Start in monitor mode for 30 to 60 days, tune false positives, then block or warn by channel.</w:t>
            </w:r>
          </w:p>
        </w:tc>
      </w:tr>
      <w:tr>
        <w:tc>
          <w:tcPr>
            <w:tcW w:type="dxa" w:w="1020"/>
          </w:tcPr>
          <w:p>
            <w:r/>
            <w:r>
              <w:rPr>
                <w:rFonts w:ascii="Calibri" w:hAnsi="Calibri" w:cs="Calibri" w:eastAsia="Calibri"/>
                <w:b w:val="0"/>
                <w:i w:val="0"/>
                <w:sz w:val="18"/>
                <w:szCs w:val="18"/>
              </w:rPr>
              <w:t>DLP-04</w:t>
            </w:r>
          </w:p>
        </w:tc>
        <w:tc>
          <w:tcPr>
            <w:tcW w:type="dxa" w:w="8334"/>
          </w:tcPr>
          <w:p>
            <w:r/>
            <w:r>
              <w:rPr>
                <w:rFonts w:ascii="Calibri" w:hAnsi="Calibri" w:cs="Calibri" w:eastAsia="Calibri"/>
                <w:b w:val="0"/>
                <w:i w:val="0"/>
                <w:sz w:val="18"/>
                <w:szCs w:val="18"/>
              </w:rPr>
              <w:t>Route alerts to the SOC Lead (MSSP service manager with Security Manager oversight) and data owners; investigate High alerts within 1 working day.</w:t>
            </w:r>
          </w:p>
        </w:tc>
      </w:tr>
      <w:tr>
        <w:tc>
          <w:tcPr>
            <w:tcW w:type="dxa" w:w="1020"/>
          </w:tcPr>
          <w:p>
            <w:r/>
            <w:r>
              <w:rPr>
                <w:rFonts w:ascii="Calibri" w:hAnsi="Calibri" w:cs="Calibri" w:eastAsia="Calibri"/>
                <w:b w:val="0"/>
                <w:i w:val="0"/>
                <w:sz w:val="18"/>
                <w:szCs w:val="18"/>
              </w:rPr>
              <w:t>DLP-05</w:t>
            </w:r>
          </w:p>
        </w:tc>
        <w:tc>
          <w:tcPr>
            <w:tcW w:type="dxa" w:w="8334"/>
          </w:tcPr>
          <w:p>
            <w:r/>
            <w:r>
              <w:rPr>
                <w:rFonts w:ascii="Calibri" w:hAnsi="Calibri" w:cs="Calibri" w:eastAsia="Calibri"/>
                <w:b w:val="0"/>
                <w:i w:val="0"/>
                <w:sz w:val="18"/>
                <w:szCs w:val="18"/>
              </w:rPr>
              <w:t>Block uploads of Restricted data to unapproved cloud storage and public AI tools.</w:t>
            </w:r>
          </w:p>
        </w:tc>
      </w:tr>
      <w:tr>
        <w:tc>
          <w:tcPr>
            <w:tcW w:type="dxa" w:w="1020"/>
          </w:tcPr>
          <w:p>
            <w:r/>
            <w:r>
              <w:rPr>
                <w:rFonts w:ascii="Calibri" w:hAnsi="Calibri" w:cs="Calibri" w:eastAsia="Calibri"/>
                <w:b w:val="0"/>
                <w:i w:val="0"/>
                <w:sz w:val="18"/>
                <w:szCs w:val="18"/>
              </w:rPr>
              <w:t>DLP-06</w:t>
            </w:r>
          </w:p>
        </w:tc>
        <w:tc>
          <w:tcPr>
            <w:tcW w:type="dxa" w:w="8334"/>
          </w:tcPr>
          <w:p>
            <w:r/>
            <w:r>
              <w:rPr>
                <w:rFonts w:ascii="Calibri" w:hAnsi="Calibri" w:cs="Calibri" w:eastAsia="Calibri"/>
                <w:b w:val="0"/>
                <w:i w:val="0"/>
                <w:sz w:val="18"/>
                <w:szCs w:val="18"/>
              </w:rPr>
              <w:t>Review DLP rules every six months.</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Classify and label data first; DLP without classification produces noise.</w:t>
      </w:r>
    </w:p>
    <w:p>
      <w:pPr>
        <w:pStyle w:val="ListBullet"/>
        <w:spacing w:after="40"/>
      </w:pPr>
      <w:r>
        <w:rPr>
          <w:rFonts w:ascii="Calibri" w:hAnsi="Calibri" w:cs="Calibri" w:eastAsia="Calibri"/>
          <w:b w:val="0"/>
          <w:i w:val="0"/>
          <w:sz w:val="21"/>
          <w:szCs w:val="21"/>
        </w:rPr>
        <w:t>Coordinate with HR and the DPO on monitoring scope and employee notice.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Switching to block mode on day one, disrupting legitimate business.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PR.DS-01: The confidentiality, integrity, and availability of data-at-rest are protected</w:t>
            </w:r>
          </w:p>
          <w:p>
            <w:r>
              <w:rPr>
                <w:rFonts w:ascii="Calibri" w:hAnsi="Calibri" w:cs="Calibri" w:eastAsia="Calibri"/>
                <w:b w:val="0"/>
                <w:i w:val="0"/>
                <w:sz w:val="18"/>
                <w:szCs w:val="18"/>
              </w:rPr>
              <w:t>PR.DS-02: The confidentiality, integrity, and availability of data-in-transit are protected</w:t>
            </w:r>
          </w:p>
          <w:p>
            <w:r>
              <w:rPr>
                <w:rFonts w:ascii="Calibri" w:hAnsi="Calibri" w:cs="Calibri" w:eastAsia="Calibri"/>
                <w:b w:val="0"/>
                <w:i w:val="0"/>
                <w:sz w:val="18"/>
                <w:szCs w:val="18"/>
              </w:rPr>
              <w:t>PR.DS-10: The confidentiality, integrity, and availability of data-in-use are protected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AC-4, SI-4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PR-POL-003: Data Protection and Classification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PR-STD-008  |  Data Loss Prevention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