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Mobile Device and BYOD Standard</w:t>
      </w:r>
    </w:p>
    <w:p>
      <w:pPr>
        <w:spacing w:after="80" w:before="0"/>
      </w:pPr>
      <w:r>
        <w:rPr>
          <w:rFonts w:ascii="Calibri" w:hAnsi="Calibri" w:cs="Calibri" w:eastAsia="Calibri"/>
          <w:b w:val="0"/>
          <w:i w:val="0"/>
          <w:color w:val="595959"/>
          <w:sz w:val="18"/>
          <w:szCs w:val="18"/>
        </w:rPr>
        <w:t>PR-STD-009  |  Standard  |  Data Security (PR.DS)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PR-STD-009</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Mobile Device and BYOD Standard</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4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4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2: Standard</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Standard</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Protect (PR)</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Data Security (PR.DS)</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All</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8.1 and 6.7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Technological (A.8); tags: Technology, People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25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4 April 2026</w:t>
            </w:r>
          </w:p>
        </w:tc>
        <w:tc>
          <w:tcPr>
            <w:tcW w:type="dxa" w:w="3742"/>
          </w:tcPr>
          <w:p>
            <w:r/>
            <w:r>
              <w:rPr>
                <w:rFonts w:ascii="Calibri" w:hAnsi="Calibri" w:cs="Calibri" w:eastAsia="Calibri"/>
                <w:b w:val="0"/>
                <w:i w:val="0"/>
                <w:sz w:val="18"/>
                <w:szCs w:val="18"/>
              </w:rPr>
              <w:t>Updated after the November 2025 internal audit (IA-2025-04) and the 2026 control gap review.</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sets security requirements for organization-owned mobile devices and personal devices (bring your own device, BYOD) that access organization data.</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standard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Requirements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Set requirements by device ownership.</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551"/>
        <w:gridCol w:w="3118"/>
        <w:gridCol w:w="3685"/>
      </w:tblGrid>
      <w:tr>
        <w:trPr>
          <w:tblHeader w:val="true"/>
        </w:trPr>
        <w:tc>
          <w:tcPr>
            <w:tcW w:type="dxa" w:w="2551"/>
            <w:shd w:val="clear" w:color="auto" w:fill="1F3864"/>
          </w:tcPr>
          <w:p>
            <w:r/>
            <w:r>
              <w:rPr>
                <w:rFonts w:ascii="Calibri" w:hAnsi="Calibri" w:cs="Calibri" w:eastAsia="Calibri"/>
                <w:b/>
                <w:i w:val="0"/>
                <w:color w:val="FFFFFF"/>
                <w:sz w:val="18"/>
                <w:szCs w:val="18"/>
                <w:bCs/>
              </w:rPr>
              <w:t>Requirement</w:t>
            </w:r>
          </w:p>
        </w:tc>
        <w:tc>
          <w:tcPr>
            <w:tcW w:type="dxa" w:w="3118"/>
            <w:shd w:val="clear" w:color="auto" w:fill="1F3864"/>
          </w:tcPr>
          <w:p>
            <w:r/>
            <w:r>
              <w:rPr>
                <w:rFonts w:ascii="Calibri" w:hAnsi="Calibri" w:cs="Calibri" w:eastAsia="Calibri"/>
                <w:b/>
                <w:i w:val="0"/>
                <w:color w:val="FFFFFF"/>
                <w:sz w:val="18"/>
                <w:szCs w:val="18"/>
                <w:bCs/>
              </w:rPr>
              <w:t>Organization-owned</w:t>
            </w:r>
          </w:p>
        </w:tc>
        <w:tc>
          <w:tcPr>
            <w:tcW w:type="dxa" w:w="3685"/>
            <w:shd w:val="clear" w:color="auto" w:fill="1F3864"/>
          </w:tcPr>
          <w:p>
            <w:r/>
            <w:r>
              <w:rPr>
                <w:rFonts w:ascii="Calibri" w:hAnsi="Calibri" w:cs="Calibri" w:eastAsia="Calibri"/>
                <w:b/>
                <w:i w:val="0"/>
                <w:color w:val="FFFFFF"/>
                <w:sz w:val="18"/>
                <w:szCs w:val="18"/>
                <w:bCs/>
              </w:rPr>
              <w:t>Personal (BYOD)</w:t>
            </w:r>
          </w:p>
        </w:tc>
      </w:tr>
      <w:tr>
        <w:tc>
          <w:tcPr>
            <w:tcW w:type="dxa" w:w="2551"/>
          </w:tcPr>
          <w:p>
            <w:r/>
            <w:r>
              <w:rPr>
                <w:rFonts w:ascii="Calibri" w:hAnsi="Calibri" w:cs="Calibri" w:eastAsia="Calibri"/>
                <w:b w:val="0"/>
                <w:i w:val="0"/>
                <w:sz w:val="18"/>
                <w:szCs w:val="18"/>
              </w:rPr>
              <w:t>Enrollment</w:t>
            </w:r>
          </w:p>
        </w:tc>
        <w:tc>
          <w:tcPr>
            <w:tcW w:type="dxa" w:w="3118"/>
          </w:tcPr>
          <w:p>
            <w:r/>
            <w:r>
              <w:rPr>
                <w:rFonts w:ascii="Calibri" w:hAnsi="Calibri" w:cs="Calibri" w:eastAsia="Calibri"/>
                <w:b w:val="0"/>
                <w:i w:val="0"/>
                <w:sz w:val="18"/>
                <w:szCs w:val="18"/>
              </w:rPr>
              <w:t>Full device management (MDM)</w:t>
            </w:r>
          </w:p>
        </w:tc>
        <w:tc>
          <w:tcPr>
            <w:tcW w:type="dxa" w:w="3685"/>
          </w:tcPr>
          <w:p>
            <w:r/>
            <w:r>
              <w:rPr>
                <w:rFonts w:ascii="Calibri" w:hAnsi="Calibri" w:cs="Calibri" w:eastAsia="Calibri"/>
                <w:b w:val="0"/>
                <w:i w:val="0"/>
                <w:sz w:val="18"/>
                <w:szCs w:val="18"/>
              </w:rPr>
              <w:t>App protection policies (MAM) without full device control</w:t>
            </w:r>
          </w:p>
        </w:tc>
      </w:tr>
      <w:tr>
        <w:tc>
          <w:tcPr>
            <w:tcW w:type="dxa" w:w="2551"/>
          </w:tcPr>
          <w:p>
            <w:r/>
            <w:r>
              <w:rPr>
                <w:rFonts w:ascii="Calibri" w:hAnsi="Calibri" w:cs="Calibri" w:eastAsia="Calibri"/>
                <w:b w:val="0"/>
                <w:i w:val="0"/>
                <w:sz w:val="18"/>
                <w:szCs w:val="18"/>
              </w:rPr>
              <w:t>Screen lock</w:t>
            </w:r>
          </w:p>
        </w:tc>
        <w:tc>
          <w:tcPr>
            <w:tcW w:type="dxa" w:w="3118"/>
          </w:tcPr>
          <w:p>
            <w:r/>
            <w:r>
              <w:rPr>
                <w:rFonts w:ascii="Calibri" w:hAnsi="Calibri" w:cs="Calibri" w:eastAsia="Calibri"/>
                <w:b w:val="0"/>
                <w:i w:val="0"/>
                <w:sz w:val="18"/>
                <w:szCs w:val="18"/>
              </w:rPr>
              <w:t>PIN of 6 digits or biometric</w:t>
            </w:r>
          </w:p>
        </w:tc>
        <w:tc>
          <w:tcPr>
            <w:tcW w:type="dxa" w:w="3685"/>
          </w:tcPr>
          <w:p>
            <w:r/>
            <w:r>
              <w:rPr>
                <w:rFonts w:ascii="Calibri" w:hAnsi="Calibri" w:cs="Calibri" w:eastAsia="Calibri"/>
                <w:b w:val="0"/>
                <w:i w:val="0"/>
                <w:sz w:val="18"/>
                <w:szCs w:val="18"/>
              </w:rPr>
              <w:t>PIN of 6 digits or biometric</w:t>
            </w:r>
          </w:p>
        </w:tc>
      </w:tr>
      <w:tr>
        <w:tc>
          <w:tcPr>
            <w:tcW w:type="dxa" w:w="2551"/>
          </w:tcPr>
          <w:p>
            <w:r/>
            <w:r>
              <w:rPr>
                <w:rFonts w:ascii="Calibri" w:hAnsi="Calibri" w:cs="Calibri" w:eastAsia="Calibri"/>
                <w:b w:val="0"/>
                <w:i w:val="0"/>
                <w:sz w:val="18"/>
                <w:szCs w:val="18"/>
              </w:rPr>
              <w:t>Encryption</w:t>
            </w:r>
          </w:p>
        </w:tc>
        <w:tc>
          <w:tcPr>
            <w:tcW w:type="dxa" w:w="3118"/>
          </w:tcPr>
          <w:p>
            <w:r/>
            <w:r>
              <w:rPr>
                <w:rFonts w:ascii="Calibri" w:hAnsi="Calibri" w:cs="Calibri" w:eastAsia="Calibri"/>
                <w:b w:val="0"/>
                <w:i w:val="0"/>
                <w:sz w:val="18"/>
                <w:szCs w:val="18"/>
              </w:rPr>
              <w:t>Required</w:t>
            </w:r>
          </w:p>
        </w:tc>
        <w:tc>
          <w:tcPr>
            <w:tcW w:type="dxa" w:w="3685"/>
          </w:tcPr>
          <w:p>
            <w:r/>
            <w:r>
              <w:rPr>
                <w:rFonts w:ascii="Calibri" w:hAnsi="Calibri" w:cs="Calibri" w:eastAsia="Calibri"/>
                <w:b w:val="0"/>
                <w:i w:val="0"/>
                <w:sz w:val="18"/>
                <w:szCs w:val="18"/>
              </w:rPr>
              <w:t>Required (device default)</w:t>
            </w:r>
          </w:p>
        </w:tc>
      </w:tr>
      <w:tr>
        <w:tc>
          <w:tcPr>
            <w:tcW w:type="dxa" w:w="2551"/>
          </w:tcPr>
          <w:p>
            <w:r/>
            <w:r>
              <w:rPr>
                <w:rFonts w:ascii="Calibri" w:hAnsi="Calibri" w:cs="Calibri" w:eastAsia="Calibri"/>
                <w:b w:val="0"/>
                <w:i w:val="0"/>
                <w:sz w:val="18"/>
                <w:szCs w:val="18"/>
              </w:rPr>
              <w:t>Operating system</w:t>
            </w:r>
          </w:p>
        </w:tc>
        <w:tc>
          <w:tcPr>
            <w:tcW w:type="dxa" w:w="3118"/>
          </w:tcPr>
          <w:p>
            <w:r/>
            <w:r>
              <w:rPr>
                <w:rFonts w:ascii="Calibri" w:hAnsi="Calibri" w:cs="Calibri" w:eastAsia="Calibri"/>
                <w:b w:val="0"/>
                <w:i w:val="0"/>
                <w:sz w:val="18"/>
                <w:szCs w:val="18"/>
              </w:rPr>
              <w:t>Supported version; updates within 30 days</w:t>
            </w:r>
          </w:p>
        </w:tc>
        <w:tc>
          <w:tcPr>
            <w:tcW w:type="dxa" w:w="3685"/>
          </w:tcPr>
          <w:p>
            <w:r/>
            <w:r>
              <w:rPr>
                <w:rFonts w:ascii="Calibri" w:hAnsi="Calibri" w:cs="Calibri" w:eastAsia="Calibri"/>
                <w:b w:val="0"/>
                <w:i w:val="0"/>
                <w:sz w:val="18"/>
                <w:szCs w:val="18"/>
              </w:rPr>
              <w:t>Supported version</w:t>
            </w:r>
          </w:p>
        </w:tc>
      </w:tr>
      <w:tr>
        <w:tc>
          <w:tcPr>
            <w:tcW w:type="dxa" w:w="2551"/>
          </w:tcPr>
          <w:p>
            <w:r/>
            <w:r>
              <w:rPr>
                <w:rFonts w:ascii="Calibri" w:hAnsi="Calibri" w:cs="Calibri" w:eastAsia="Calibri"/>
                <w:b w:val="0"/>
                <w:i w:val="0"/>
                <w:sz w:val="18"/>
                <w:szCs w:val="18"/>
              </w:rPr>
              <w:t>Jailbroken or rooted devices</w:t>
            </w:r>
          </w:p>
        </w:tc>
        <w:tc>
          <w:tcPr>
            <w:tcW w:type="dxa" w:w="3118"/>
          </w:tcPr>
          <w:p>
            <w:r/>
            <w:r>
              <w:rPr>
                <w:rFonts w:ascii="Calibri" w:hAnsi="Calibri" w:cs="Calibri" w:eastAsia="Calibri"/>
                <w:b w:val="0"/>
                <w:i w:val="0"/>
                <w:sz w:val="18"/>
                <w:szCs w:val="18"/>
              </w:rPr>
              <w:t>Blocked</w:t>
            </w:r>
          </w:p>
        </w:tc>
        <w:tc>
          <w:tcPr>
            <w:tcW w:type="dxa" w:w="3685"/>
          </w:tcPr>
          <w:p>
            <w:r/>
            <w:r>
              <w:rPr>
                <w:rFonts w:ascii="Calibri" w:hAnsi="Calibri" w:cs="Calibri" w:eastAsia="Calibri"/>
                <w:b w:val="0"/>
                <w:i w:val="0"/>
                <w:sz w:val="18"/>
                <w:szCs w:val="18"/>
              </w:rPr>
              <w:t>Blocked</w:t>
            </w:r>
          </w:p>
        </w:tc>
      </w:tr>
      <w:tr>
        <w:tc>
          <w:tcPr>
            <w:tcW w:type="dxa" w:w="2551"/>
          </w:tcPr>
          <w:p>
            <w:r/>
            <w:r>
              <w:rPr>
                <w:rFonts w:ascii="Calibri" w:hAnsi="Calibri" w:cs="Calibri" w:eastAsia="Calibri"/>
                <w:b w:val="0"/>
                <w:i w:val="0"/>
                <w:sz w:val="18"/>
                <w:szCs w:val="18"/>
              </w:rPr>
              <w:t>Data in organization apps</w:t>
            </w:r>
          </w:p>
        </w:tc>
        <w:tc>
          <w:tcPr>
            <w:tcW w:type="dxa" w:w="3118"/>
          </w:tcPr>
          <w:p>
            <w:r/>
            <w:r>
              <w:rPr>
                <w:rFonts w:ascii="Calibri" w:hAnsi="Calibri" w:cs="Calibri" w:eastAsia="Calibri"/>
                <w:b w:val="0"/>
                <w:i w:val="0"/>
                <w:sz w:val="18"/>
                <w:szCs w:val="18"/>
              </w:rPr>
              <w:t>Managed</w:t>
            </w:r>
          </w:p>
        </w:tc>
        <w:tc>
          <w:tcPr>
            <w:tcW w:type="dxa" w:w="3685"/>
          </w:tcPr>
          <w:p>
            <w:r/>
            <w:r>
              <w:rPr>
                <w:rFonts w:ascii="Calibri" w:hAnsi="Calibri" w:cs="Calibri" w:eastAsia="Calibri"/>
                <w:b w:val="0"/>
                <w:i w:val="0"/>
                <w:sz w:val="18"/>
                <w:szCs w:val="18"/>
              </w:rPr>
              <w:t>Copy and paste to personal apps blocked; selective wipe</w:t>
            </w:r>
          </w:p>
        </w:tc>
      </w:tr>
      <w:tr>
        <w:tc>
          <w:tcPr>
            <w:tcW w:type="dxa" w:w="2551"/>
          </w:tcPr>
          <w:p>
            <w:r/>
            <w:r>
              <w:rPr>
                <w:rFonts w:ascii="Calibri" w:hAnsi="Calibri" w:cs="Calibri" w:eastAsia="Calibri"/>
                <w:b w:val="0"/>
                <w:i w:val="0"/>
                <w:sz w:val="18"/>
                <w:szCs w:val="18"/>
              </w:rPr>
              <w:t>Lost or stolen device</w:t>
            </w:r>
          </w:p>
        </w:tc>
        <w:tc>
          <w:tcPr>
            <w:tcW w:type="dxa" w:w="3118"/>
          </w:tcPr>
          <w:p>
            <w:r/>
            <w:r>
              <w:rPr>
                <w:rFonts w:ascii="Calibri" w:hAnsi="Calibri" w:cs="Calibri" w:eastAsia="Calibri"/>
                <w:b w:val="0"/>
                <w:i w:val="0"/>
                <w:sz w:val="18"/>
                <w:szCs w:val="18"/>
              </w:rPr>
              <w:t>Report within 24 hours; remote wipe</w:t>
            </w:r>
          </w:p>
        </w:tc>
        <w:tc>
          <w:tcPr>
            <w:tcW w:type="dxa" w:w="3685"/>
          </w:tcPr>
          <w:p>
            <w:r/>
            <w:r>
              <w:rPr>
                <w:rFonts w:ascii="Calibri" w:hAnsi="Calibri" w:cs="Calibri" w:eastAsia="Calibri"/>
                <w:b w:val="0"/>
                <w:i w:val="0"/>
                <w:sz w:val="18"/>
                <w:szCs w:val="18"/>
              </w:rPr>
              <w:t>Report within 24 hours; selective wipe of organization data</w:t>
            </w:r>
          </w:p>
        </w:tc>
      </w:tr>
    </w:tbl>
    <w:p>
      <w:pPr>
        <w:spacing w:after="40"/>
      </w:pP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standard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Use app-level protection for BYOD to respect personal privacy while protecting organization data.</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Staff photograph records with personal phones because no approved option exists.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PR.DS-01: The confidentiality, integrity, and availability of data-at-rest are protected</w:t>
            </w:r>
          </w:p>
          <w:p>
            <w:r>
              <w:rPr>
                <w:rFonts w:ascii="Calibri" w:hAnsi="Calibri" w:cs="Calibri" w:eastAsia="Calibri"/>
                <w:b w:val="0"/>
                <w:i w:val="0"/>
                <w:sz w:val="18"/>
                <w:szCs w:val="18"/>
              </w:rPr>
              <w:t>PR.AA-03: Users, services, and hardware are authenticated</w:t>
            </w:r>
          </w:p>
          <w:p>
            <w:r>
              <w:rPr>
                <w:rFonts w:ascii="Calibri" w:hAnsi="Calibri" w:cs="Calibri" w:eastAsia="Calibri"/>
                <w:b w:val="0"/>
                <w:i w:val="0"/>
                <w:sz w:val="18"/>
                <w:szCs w:val="18"/>
              </w:rPr>
              <w:t>PR.PS-01: Configuration management practices are established and applied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A.8.1, Annex A.6.7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AC-19</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8.1 and 6.7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GV-POL-003: Acceptable Use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PR-STD-009  |  Mobile Device and BYOD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