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Firewall Rule Management Procedure</w:t>
      </w:r>
    </w:p>
    <w:p>
      <w:pPr>
        <w:spacing w:after="80" w:before="0"/>
      </w:pPr>
      <w:r>
        <w:rPr>
          <w:rFonts w:ascii="Calibri" w:hAnsi="Calibri" w:cs="Calibri" w:eastAsia="Calibri"/>
          <w:b w:val="0"/>
          <w:i w:val="0"/>
          <w:color w:val="595959"/>
          <w:sz w:val="18"/>
          <w:szCs w:val="18"/>
        </w:rPr>
        <w:t>PR-PRC-008  |  Procedure  |  Technology Infrastructure Resilience (PR.IR)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PR-PRC-008</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Firewall Rule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Technology Infrastructure Resilience (PR.IR)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8.20 and 8.32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 May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controls how firewall rules are requested, reviewed, implemented, and periodically recertified, to keep boundary controls tight (PR.IR-01).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for new rules and periodic review.</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6407"/>
        <w:gridCol w:w="2268"/>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6406"/>
            <w:shd w:val="clear" w:color="auto" w:fill="1F3864"/>
          </w:tcPr>
          <w:p>
            <w:r/>
            <w:r>
              <w:rPr>
                <w:rFonts w:ascii="Calibri" w:hAnsi="Calibri" w:cs="Calibri" w:eastAsia="Calibri"/>
                <w:b/>
                <w:i w:val="0"/>
                <w:color w:val="FFFFFF"/>
                <w:sz w:val="18"/>
                <w:szCs w:val="18"/>
                <w:bCs/>
              </w:rPr>
              <w:t>Activity</w:t>
            </w:r>
          </w:p>
        </w:tc>
        <w:tc>
          <w:tcPr>
            <w:tcW w:type="dxa" w:w="2268"/>
            <w:shd w:val="clear" w:color="auto" w:fill="1F3864"/>
          </w:tcPr>
          <w:p>
            <w:r/>
            <w:r>
              <w:rPr>
                <w:rFonts w:ascii="Calibri" w:hAnsi="Calibri" w:cs="Calibri" w:eastAsia="Calibri"/>
                <w:b/>
                <w:i w:val="0"/>
                <w:color w:val="FFFFFF"/>
                <w:sz w:val="18"/>
                <w:szCs w:val="18"/>
                <w:bCs/>
              </w:rPr>
              <w:t>Actor</w:t>
            </w:r>
          </w:p>
        </w:tc>
      </w:tr>
      <w:tr>
        <w:tc>
          <w:tcPr>
            <w:tcW w:type="dxa" w:w="680"/>
          </w:tcPr>
          <w:p>
            <w:r/>
            <w:r>
              <w:rPr>
                <w:rFonts w:ascii="Calibri" w:hAnsi="Calibri" w:cs="Calibri" w:eastAsia="Calibri"/>
                <w:b w:val="0"/>
                <w:i w:val="0"/>
                <w:sz w:val="18"/>
                <w:szCs w:val="18"/>
              </w:rPr>
              <w:t>1</w:t>
            </w:r>
          </w:p>
        </w:tc>
        <w:tc>
          <w:tcPr>
            <w:tcW w:type="dxa" w:w="6406"/>
          </w:tcPr>
          <w:p>
            <w:r/>
            <w:r>
              <w:rPr>
                <w:rFonts w:ascii="Calibri" w:hAnsi="Calibri" w:cs="Calibri" w:eastAsia="Calibri"/>
                <w:b w:val="0"/>
                <w:i w:val="0"/>
                <w:sz w:val="18"/>
                <w:szCs w:val="18"/>
              </w:rPr>
              <w:t>Submit the Firewall Rule Change Request (PR-FRM-006) with business owner and expiry</w:t>
            </w:r>
          </w:p>
        </w:tc>
        <w:tc>
          <w:tcPr>
            <w:tcW w:type="dxa" w:w="2268"/>
          </w:tcPr>
          <w:p>
            <w:r/>
            <w:r>
              <w:rPr>
                <w:rFonts w:ascii="Calibri" w:hAnsi="Calibri" w:cs="Calibri" w:eastAsia="Calibri"/>
                <w:b w:val="0"/>
                <w:i w:val="0"/>
                <w:sz w:val="18"/>
                <w:szCs w:val="18"/>
              </w:rPr>
              <w:t>Requester</w:t>
            </w:r>
          </w:p>
        </w:tc>
      </w:tr>
      <w:tr>
        <w:tc>
          <w:tcPr>
            <w:tcW w:type="dxa" w:w="680"/>
          </w:tcPr>
          <w:p>
            <w:r/>
            <w:r>
              <w:rPr>
                <w:rFonts w:ascii="Calibri" w:hAnsi="Calibri" w:cs="Calibri" w:eastAsia="Calibri"/>
                <w:b w:val="0"/>
                <w:i w:val="0"/>
                <w:sz w:val="18"/>
                <w:szCs w:val="18"/>
              </w:rPr>
              <w:t>2</w:t>
            </w:r>
          </w:p>
        </w:tc>
        <w:tc>
          <w:tcPr>
            <w:tcW w:type="dxa" w:w="6406"/>
          </w:tcPr>
          <w:p>
            <w:r/>
            <w:r>
              <w:rPr>
                <w:rFonts w:ascii="Calibri" w:hAnsi="Calibri" w:cs="Calibri" w:eastAsia="Calibri"/>
                <w:b w:val="0"/>
                <w:i w:val="0"/>
                <w:sz w:val="18"/>
                <w:szCs w:val="18"/>
              </w:rPr>
              <w:t>Review for least privilege: specific source, destination, and port; no 'any' rules</w:t>
            </w:r>
          </w:p>
        </w:tc>
        <w:tc>
          <w:tcPr>
            <w:tcW w:type="dxa" w:w="2268"/>
          </w:tcPr>
          <w:p>
            <w:r/>
            <w:r>
              <w:rPr>
                <w:rFonts w:ascii="Calibri" w:hAnsi="Calibri" w:cs="Calibri" w:eastAsia="Calibri"/>
                <w:b w:val="0"/>
                <w:i w:val="0"/>
                <w:sz w:val="18"/>
                <w:szCs w:val="18"/>
              </w:rPr>
              <w:t>Network engineer</w:t>
            </w:r>
          </w:p>
        </w:tc>
      </w:tr>
      <w:tr>
        <w:tc>
          <w:tcPr>
            <w:tcW w:type="dxa" w:w="680"/>
          </w:tcPr>
          <w:p>
            <w:r/>
            <w:r>
              <w:rPr>
                <w:rFonts w:ascii="Calibri" w:hAnsi="Calibri" w:cs="Calibri" w:eastAsia="Calibri"/>
                <w:b w:val="0"/>
                <w:i w:val="0"/>
                <w:sz w:val="18"/>
                <w:szCs w:val="18"/>
              </w:rPr>
              <w:t>3</w:t>
            </w:r>
          </w:p>
        </w:tc>
        <w:tc>
          <w:tcPr>
            <w:tcW w:type="dxa" w:w="6406"/>
          </w:tcPr>
          <w:p>
            <w:r/>
            <w:r>
              <w:rPr>
                <w:rFonts w:ascii="Calibri" w:hAnsi="Calibri" w:cs="Calibri" w:eastAsia="Calibri"/>
                <w:b w:val="0"/>
                <w:i w:val="0"/>
                <w:sz w:val="18"/>
                <w:szCs w:val="18"/>
              </w:rPr>
              <w:t>Security review for rules that expose services to the internet or cross critical zones</w:t>
            </w:r>
          </w:p>
        </w:tc>
        <w:tc>
          <w:tcPr>
            <w:tcW w:type="dxa" w:w="2268"/>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4</w:t>
            </w:r>
          </w:p>
        </w:tc>
        <w:tc>
          <w:tcPr>
            <w:tcW w:type="dxa" w:w="6406"/>
          </w:tcPr>
          <w:p>
            <w:r/>
            <w:r>
              <w:rPr>
                <w:rFonts w:ascii="Calibri" w:hAnsi="Calibri" w:cs="Calibri" w:eastAsia="Calibri"/>
                <w:b w:val="0"/>
                <w:i w:val="0"/>
                <w:sz w:val="18"/>
                <w:szCs w:val="18"/>
              </w:rPr>
              <w:t>Implement through change management with rule ID and comment</w:t>
            </w:r>
          </w:p>
        </w:tc>
        <w:tc>
          <w:tcPr>
            <w:tcW w:type="dxa" w:w="2268"/>
          </w:tcPr>
          <w:p>
            <w:r/>
            <w:r>
              <w:rPr>
                <w:rFonts w:ascii="Calibri" w:hAnsi="Calibri" w:cs="Calibri" w:eastAsia="Calibri"/>
                <w:b w:val="0"/>
                <w:i w:val="0"/>
                <w:sz w:val="18"/>
                <w:szCs w:val="18"/>
              </w:rPr>
              <w:t>Network engineer</w:t>
            </w:r>
          </w:p>
        </w:tc>
      </w:tr>
      <w:tr>
        <w:tc>
          <w:tcPr>
            <w:tcW w:type="dxa" w:w="680"/>
          </w:tcPr>
          <w:p>
            <w:r/>
            <w:r>
              <w:rPr>
                <w:rFonts w:ascii="Calibri" w:hAnsi="Calibri" w:cs="Calibri" w:eastAsia="Calibri"/>
                <w:b w:val="0"/>
                <w:i w:val="0"/>
                <w:sz w:val="18"/>
                <w:szCs w:val="18"/>
              </w:rPr>
              <w:t>5</w:t>
            </w:r>
          </w:p>
        </w:tc>
        <w:tc>
          <w:tcPr>
            <w:tcW w:type="dxa" w:w="6406"/>
          </w:tcPr>
          <w:p>
            <w:r/>
            <w:r>
              <w:rPr>
                <w:rFonts w:ascii="Calibri" w:hAnsi="Calibri" w:cs="Calibri" w:eastAsia="Calibri"/>
                <w:b w:val="0"/>
                <w:i w:val="0"/>
                <w:sz w:val="18"/>
                <w:szCs w:val="18"/>
              </w:rPr>
              <w:t>Recertify all rules every six months with rule owners; remove unused or expired rules</w:t>
            </w:r>
          </w:p>
        </w:tc>
        <w:tc>
          <w:tcPr>
            <w:tcW w:type="dxa" w:w="2268"/>
          </w:tcPr>
          <w:p>
            <w:r/>
            <w:r>
              <w:rPr>
                <w:rFonts w:ascii="Calibri" w:hAnsi="Calibri" w:cs="Calibri" w:eastAsia="Calibri"/>
                <w:b w:val="0"/>
                <w:i w:val="0"/>
                <w:sz w:val="18"/>
                <w:szCs w:val="18"/>
              </w:rPr>
              <w:t>Network engineer, rule owners</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PR-FRM-006: Firewall Rule Change Request Form</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rule hit counts to find unused rules during recertification.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Temporary vendor rules remain for years because no expiry was set.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PR.IR-01: Networks and environments are protected from unauthorized logical access and usage</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A.8.20, Annex A.8.32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SC-7, CM-3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8.20 and 8.32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PR-STD-016: Network Security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PR-FRM-006: Firewall Rule Change Request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PR-PRC-008  |  Firewall Rule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