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Network Security Standard</w:t>
      </w:r>
    </w:p>
    <w:p>
      <w:pPr>
        <w:spacing w:after="80" w:before="0"/>
      </w:pPr>
      <w:r>
        <w:rPr>
          <w:rFonts w:ascii="Calibri" w:hAnsi="Calibri" w:cs="Calibri" w:eastAsia="Calibri"/>
          <w:b w:val="0"/>
          <w:i w:val="0"/>
          <w:color w:val="595959"/>
          <w:sz w:val="18"/>
          <w:szCs w:val="18"/>
        </w:rPr>
        <w:t>PR-STD-016  |  Standard  |  Technology Infrastructure Resilience (PR.IR)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PR-STD-016</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Network Security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17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17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Technology Infrastructure Resilience (PR.IR)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8.20 to 8.23; CIS Controls v8.1 Controls 12 and 13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21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17 September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requirements for network segmentation, boundary protection, wireless, DNS, and web filtering to protect networks from unauthorized access (PR.IR-01).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network security requirements.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907"/>
        <w:gridCol w:w="8448"/>
      </w:tblGrid>
      <w:tr>
        <w:trPr>
          <w:tblHeader w:val="true"/>
        </w:trPr>
        <w:tc>
          <w:tcPr>
            <w:tcW w:type="dxa" w:w="907"/>
            <w:shd w:val="clear" w:color="auto" w:fill="1F3864"/>
          </w:tcPr>
          <w:p>
            <w:r/>
            <w:r>
              <w:rPr>
                <w:rFonts w:ascii="Calibri" w:hAnsi="Calibri" w:cs="Calibri" w:eastAsia="Calibri"/>
                <w:b/>
                <w:i w:val="0"/>
                <w:color w:val="FFFFFF"/>
                <w:sz w:val="18"/>
                <w:szCs w:val="18"/>
                <w:bCs/>
              </w:rPr>
              <w:t>ID</w:t>
            </w:r>
          </w:p>
        </w:tc>
        <w:tc>
          <w:tcPr>
            <w:tcW w:type="dxa" w:w="8447"/>
            <w:shd w:val="clear" w:color="auto" w:fill="1F3864"/>
          </w:tcPr>
          <w:p>
            <w:r/>
            <w:r>
              <w:rPr>
                <w:rFonts w:ascii="Calibri" w:hAnsi="Calibri" w:cs="Calibri" w:eastAsia="Calibri"/>
                <w:b/>
                <w:i w:val="0"/>
                <w:color w:val="FFFFFF"/>
                <w:sz w:val="18"/>
                <w:szCs w:val="18"/>
                <w:bCs/>
              </w:rPr>
              <w:t>Requirement</w:t>
            </w:r>
          </w:p>
        </w:tc>
      </w:tr>
      <w:tr>
        <w:tc>
          <w:tcPr>
            <w:tcW w:type="dxa" w:w="907"/>
          </w:tcPr>
          <w:p>
            <w:r/>
            <w:r>
              <w:rPr>
                <w:rFonts w:ascii="Calibri" w:hAnsi="Calibri" w:cs="Calibri" w:eastAsia="Calibri"/>
                <w:b w:val="0"/>
                <w:i w:val="0"/>
                <w:sz w:val="18"/>
                <w:szCs w:val="18"/>
              </w:rPr>
              <w:t>NW-01</w:t>
            </w:r>
          </w:p>
        </w:tc>
        <w:tc>
          <w:tcPr>
            <w:tcW w:type="dxa" w:w="8447"/>
          </w:tcPr>
          <w:p>
            <w:r/>
            <w:r>
              <w:rPr>
                <w:rFonts w:ascii="Calibri" w:hAnsi="Calibri" w:cs="Calibri" w:eastAsia="Calibri"/>
                <w:b w:val="0"/>
                <w:i w:val="0"/>
                <w:sz w:val="18"/>
                <w:szCs w:val="18"/>
              </w:rPr>
              <w:t>Segment the network into zones (ID-RPT-001); traffic between zones is denied by default and allowed by documented rules.</w:t>
            </w:r>
          </w:p>
        </w:tc>
      </w:tr>
      <w:tr>
        <w:tc>
          <w:tcPr>
            <w:tcW w:type="dxa" w:w="907"/>
          </w:tcPr>
          <w:p>
            <w:r/>
            <w:r>
              <w:rPr>
                <w:rFonts w:ascii="Calibri" w:hAnsi="Calibri" w:cs="Calibri" w:eastAsia="Calibri"/>
                <w:b w:val="0"/>
                <w:i w:val="0"/>
                <w:sz w:val="18"/>
                <w:szCs w:val="18"/>
              </w:rPr>
              <w:t>NW-02</w:t>
            </w:r>
          </w:p>
        </w:tc>
        <w:tc>
          <w:tcPr>
            <w:tcW w:type="dxa" w:w="8447"/>
          </w:tcPr>
          <w:p>
            <w:r/>
            <w:r>
              <w:rPr>
                <w:rFonts w:ascii="Calibri" w:hAnsi="Calibri" w:cs="Calibri" w:eastAsia="Calibri"/>
                <w:b w:val="0"/>
                <w:i w:val="0"/>
                <w:sz w:val="18"/>
                <w:szCs w:val="18"/>
              </w:rPr>
              <w:t>Internet-facing services sit in a DMZ behind a firewall and, for web, a web application firewall.</w:t>
            </w:r>
          </w:p>
        </w:tc>
      </w:tr>
      <w:tr>
        <w:tc>
          <w:tcPr>
            <w:tcW w:type="dxa" w:w="907"/>
          </w:tcPr>
          <w:p>
            <w:r/>
            <w:r>
              <w:rPr>
                <w:rFonts w:ascii="Calibri" w:hAnsi="Calibri" w:cs="Calibri" w:eastAsia="Calibri"/>
                <w:b w:val="0"/>
                <w:i w:val="0"/>
                <w:sz w:val="18"/>
                <w:szCs w:val="18"/>
              </w:rPr>
              <w:t>NW-03</w:t>
            </w:r>
          </w:p>
        </w:tc>
        <w:tc>
          <w:tcPr>
            <w:tcW w:type="dxa" w:w="8447"/>
          </w:tcPr>
          <w:p>
            <w:r/>
            <w:r>
              <w:rPr>
                <w:rFonts w:ascii="Calibri" w:hAnsi="Calibri" w:cs="Calibri" w:eastAsia="Calibri"/>
                <w:b w:val="0"/>
                <w:i w:val="0"/>
                <w:sz w:val="18"/>
                <w:szCs w:val="18"/>
              </w:rPr>
              <w:t>Management interfaces are reachable only from the management zone.</w:t>
            </w:r>
          </w:p>
        </w:tc>
      </w:tr>
      <w:tr>
        <w:tc>
          <w:tcPr>
            <w:tcW w:type="dxa" w:w="907"/>
          </w:tcPr>
          <w:p>
            <w:r/>
            <w:r>
              <w:rPr>
                <w:rFonts w:ascii="Calibri" w:hAnsi="Calibri" w:cs="Calibri" w:eastAsia="Calibri"/>
                <w:b w:val="0"/>
                <w:i w:val="0"/>
                <w:sz w:val="18"/>
                <w:szCs w:val="18"/>
              </w:rPr>
              <w:t>NW-04</w:t>
            </w:r>
          </w:p>
        </w:tc>
        <w:tc>
          <w:tcPr>
            <w:tcW w:type="dxa" w:w="8447"/>
          </w:tcPr>
          <w:p>
            <w:r/>
            <w:r>
              <w:rPr>
                <w:rFonts w:ascii="Calibri" w:hAnsi="Calibri" w:cs="Calibri" w:eastAsia="Calibri"/>
                <w:b w:val="0"/>
                <w:i w:val="0"/>
                <w:sz w:val="18"/>
                <w:szCs w:val="18"/>
              </w:rPr>
              <w:t>Wireless uses WPA2-Enterprise or WPA3 with directory authentication; guest Wi-Fi is isolated.</w:t>
            </w:r>
          </w:p>
        </w:tc>
      </w:tr>
      <w:tr>
        <w:tc>
          <w:tcPr>
            <w:tcW w:type="dxa" w:w="907"/>
          </w:tcPr>
          <w:p>
            <w:r/>
            <w:r>
              <w:rPr>
                <w:rFonts w:ascii="Calibri" w:hAnsi="Calibri" w:cs="Calibri" w:eastAsia="Calibri"/>
                <w:b w:val="0"/>
                <w:i w:val="0"/>
                <w:sz w:val="18"/>
                <w:szCs w:val="18"/>
              </w:rPr>
              <w:t>NW-05</w:t>
            </w:r>
          </w:p>
        </w:tc>
        <w:tc>
          <w:tcPr>
            <w:tcW w:type="dxa" w:w="8447"/>
          </w:tcPr>
          <w:p>
            <w:r/>
            <w:r>
              <w:rPr>
                <w:rFonts w:ascii="Calibri" w:hAnsi="Calibri" w:cs="Calibri" w:eastAsia="Calibri"/>
                <w:b w:val="0"/>
                <w:i w:val="0"/>
                <w:sz w:val="18"/>
                <w:szCs w:val="18"/>
              </w:rPr>
              <w:t>Network access control blocks unknown devices on wired ports in sensitive areas.</w:t>
            </w:r>
          </w:p>
        </w:tc>
      </w:tr>
      <w:tr>
        <w:tc>
          <w:tcPr>
            <w:tcW w:type="dxa" w:w="907"/>
          </w:tcPr>
          <w:p>
            <w:r/>
            <w:r>
              <w:rPr>
                <w:rFonts w:ascii="Calibri" w:hAnsi="Calibri" w:cs="Calibri" w:eastAsia="Calibri"/>
                <w:b w:val="0"/>
                <w:i w:val="0"/>
                <w:sz w:val="18"/>
                <w:szCs w:val="18"/>
              </w:rPr>
              <w:t>NW-06</w:t>
            </w:r>
          </w:p>
        </w:tc>
        <w:tc>
          <w:tcPr>
            <w:tcW w:type="dxa" w:w="8447"/>
          </w:tcPr>
          <w:p>
            <w:r/>
            <w:r>
              <w:rPr>
                <w:rFonts w:ascii="Calibri" w:hAnsi="Calibri" w:cs="Calibri" w:eastAsia="Calibri"/>
                <w:b w:val="0"/>
                <w:i w:val="0"/>
                <w:sz w:val="18"/>
                <w:szCs w:val="18"/>
              </w:rPr>
              <w:t>DNS filtering and web filtering block known malicious and high-risk categories.</w:t>
            </w:r>
          </w:p>
        </w:tc>
      </w:tr>
      <w:tr>
        <w:tc>
          <w:tcPr>
            <w:tcW w:type="dxa" w:w="907"/>
          </w:tcPr>
          <w:p>
            <w:r/>
            <w:r>
              <w:rPr>
                <w:rFonts w:ascii="Calibri" w:hAnsi="Calibri" w:cs="Calibri" w:eastAsia="Calibri"/>
                <w:b w:val="0"/>
                <w:i w:val="0"/>
                <w:sz w:val="18"/>
                <w:szCs w:val="18"/>
              </w:rPr>
              <w:t>NW-07</w:t>
            </w:r>
          </w:p>
        </w:tc>
        <w:tc>
          <w:tcPr>
            <w:tcW w:type="dxa" w:w="8447"/>
          </w:tcPr>
          <w:p>
            <w:r/>
            <w:r>
              <w:rPr>
                <w:rFonts w:ascii="Calibri" w:hAnsi="Calibri" w:cs="Calibri" w:eastAsia="Calibri"/>
                <w:b w:val="0"/>
                <w:i w:val="0"/>
                <w:sz w:val="18"/>
                <w:szCs w:val="18"/>
              </w:rPr>
              <w:t>Firewall rules are reviewed every six months; unused and overly broad rules are removed (PR-PRC-008).</w:t>
            </w:r>
          </w:p>
        </w:tc>
      </w:tr>
      <w:tr>
        <w:tc>
          <w:tcPr>
            <w:tcW w:type="dxa" w:w="907"/>
          </w:tcPr>
          <w:p>
            <w:r/>
            <w:r>
              <w:rPr>
                <w:rFonts w:ascii="Calibri" w:hAnsi="Calibri" w:cs="Calibri" w:eastAsia="Calibri"/>
                <w:b w:val="0"/>
                <w:i w:val="0"/>
                <w:sz w:val="18"/>
                <w:szCs w:val="18"/>
              </w:rPr>
              <w:t>NW-08</w:t>
            </w:r>
          </w:p>
        </w:tc>
        <w:tc>
          <w:tcPr>
            <w:tcW w:type="dxa" w:w="8447"/>
          </w:tcPr>
          <w:p>
            <w:r/>
            <w:r>
              <w:rPr>
                <w:rFonts w:ascii="Calibri" w:hAnsi="Calibri" w:cs="Calibri" w:eastAsia="Calibri"/>
                <w:b w:val="0"/>
                <w:i w:val="0"/>
                <w:sz w:val="18"/>
                <w:szCs w:val="18"/>
              </w:rPr>
              <w:t>Email gateway filters malware and phishing and enforces SPF, DKIM, and DMARC.</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Segment to limit ransomware spread: separate user, server, management, backup, and device networks.</w:t>
      </w:r>
    </w:p>
    <w:p>
      <w:pPr>
        <w:pStyle w:val="ListBullet"/>
        <w:spacing w:after="40"/>
      </w:pPr>
      <w:r>
        <w:rPr>
          <w:rFonts w:ascii="Calibri" w:hAnsi="Calibri" w:cs="Calibri" w:eastAsia="Calibri"/>
          <w:b w:val="0"/>
          <w:i w:val="0"/>
          <w:sz w:val="21"/>
          <w:szCs w:val="21"/>
        </w:rPr>
        <w:t>Move DMARC policy to reject after monitoring.</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Flat networks where any workstation can reach every server.</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PR.IR-01: Networks and environments are protected from unauthorized logical access and usage</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A.8.20, Annex A.8.21, Annex A.8.22, Annex A.8.23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SC-7, AC-4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8.20 to 8.23; CIS Controls v8.1 Controls 12 and 13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PR-PRC-008: Firewall Rule Management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PR-STD-016  |  Network Security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