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Technology Resilience and Capacity Standard</w:t>
      </w:r>
    </w:p>
    <w:p>
      <w:pPr>
        <w:spacing w:after="80" w:before="0"/>
      </w:pPr>
      <w:r>
        <w:rPr>
          <w:rFonts w:ascii="Calibri" w:hAnsi="Calibri" w:cs="Calibri" w:eastAsia="Calibri"/>
          <w:b w:val="0"/>
          <w:i w:val="0"/>
          <w:color w:val="595959"/>
          <w:sz w:val="18"/>
          <w:szCs w:val="18"/>
        </w:rPr>
        <w:t>PR-STD-017  |  Standard  |  Technology Infrastructure Resilience (PR.IR)</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PR-STD-017</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Technology Resilience and Capacity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23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23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Technology Infrastructure Resilience (PR.IR)</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8.6 and 8.14</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 Resilience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15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23 April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requirements for redundancy, failover, and capacity management so that critical services meet availability and recovery objectives in normal and adverse situations (PR.IR-03, PR.IR-04).</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Requirements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resilience and capacity requirements by criticality.</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907"/>
        <w:gridCol w:w="4195"/>
        <w:gridCol w:w="2268"/>
        <w:gridCol w:w="1984"/>
      </w:tblGrid>
      <w:tr>
        <w:trPr>
          <w:tblHeader w:val="true"/>
        </w:trPr>
        <w:tc>
          <w:tcPr>
            <w:tcW w:type="dxa" w:w="907"/>
            <w:shd w:val="clear" w:color="auto" w:fill="1F3864"/>
          </w:tcPr>
          <w:p>
            <w:r/>
            <w:r>
              <w:rPr>
                <w:rFonts w:ascii="Calibri" w:hAnsi="Calibri" w:cs="Calibri" w:eastAsia="Calibri"/>
                <w:b/>
                <w:i w:val="0"/>
                <w:color w:val="FFFFFF"/>
                <w:sz w:val="18"/>
                <w:szCs w:val="18"/>
                <w:bCs/>
              </w:rPr>
              <w:t>ID</w:t>
            </w:r>
          </w:p>
        </w:tc>
        <w:tc>
          <w:tcPr>
            <w:tcW w:type="dxa" w:w="4195"/>
            <w:shd w:val="clear" w:color="auto" w:fill="1F3864"/>
          </w:tcPr>
          <w:p>
            <w:r/>
            <w:r>
              <w:rPr>
                <w:rFonts w:ascii="Calibri" w:hAnsi="Calibri" w:cs="Calibri" w:eastAsia="Calibri"/>
                <w:b/>
                <w:i w:val="0"/>
                <w:color w:val="FFFFFF"/>
                <w:sz w:val="18"/>
                <w:szCs w:val="18"/>
                <w:bCs/>
              </w:rPr>
              <w:t>Requirement</w:t>
            </w:r>
          </w:p>
        </w:tc>
        <w:tc>
          <w:tcPr>
            <w:tcW w:type="dxa" w:w="2268"/>
            <w:shd w:val="clear" w:color="auto" w:fill="1F3864"/>
          </w:tcPr>
          <w:p>
            <w:r/>
            <w:r>
              <w:rPr>
                <w:rFonts w:ascii="Calibri" w:hAnsi="Calibri" w:cs="Calibri" w:eastAsia="Calibri"/>
                <w:b/>
                <w:i w:val="0"/>
                <w:color w:val="FFFFFF"/>
                <w:sz w:val="18"/>
                <w:szCs w:val="18"/>
                <w:bCs/>
              </w:rPr>
              <w:t>Critical</w:t>
            </w:r>
          </w:p>
        </w:tc>
        <w:tc>
          <w:tcPr>
            <w:tcW w:type="dxa" w:w="1984"/>
            <w:shd w:val="clear" w:color="auto" w:fill="1F3864"/>
          </w:tcPr>
          <w:p>
            <w:r/>
            <w:r>
              <w:rPr>
                <w:rFonts w:ascii="Calibri" w:hAnsi="Calibri" w:cs="Calibri" w:eastAsia="Calibri"/>
                <w:b/>
                <w:i w:val="0"/>
                <w:color w:val="FFFFFF"/>
                <w:sz w:val="18"/>
                <w:szCs w:val="18"/>
                <w:bCs/>
              </w:rPr>
              <w:t>High</w:t>
            </w:r>
          </w:p>
        </w:tc>
      </w:tr>
      <w:tr>
        <w:tc>
          <w:tcPr>
            <w:tcW w:type="dxa" w:w="907"/>
          </w:tcPr>
          <w:p>
            <w:r/>
            <w:r>
              <w:rPr>
                <w:rFonts w:ascii="Calibri" w:hAnsi="Calibri" w:cs="Calibri" w:eastAsia="Calibri"/>
                <w:b w:val="0"/>
                <w:i w:val="0"/>
                <w:sz w:val="18"/>
                <w:szCs w:val="18"/>
              </w:rPr>
              <w:t>RS-01</w:t>
            </w:r>
          </w:p>
        </w:tc>
        <w:tc>
          <w:tcPr>
            <w:tcW w:type="dxa" w:w="4195"/>
          </w:tcPr>
          <w:p>
            <w:r/>
            <w:r>
              <w:rPr>
                <w:rFonts w:ascii="Calibri" w:hAnsi="Calibri" w:cs="Calibri" w:eastAsia="Calibri"/>
                <w:b w:val="0"/>
                <w:i w:val="0"/>
                <w:sz w:val="18"/>
                <w:szCs w:val="18"/>
              </w:rPr>
              <w:t>Redundant components (power, network, storage, servers)</w:t>
            </w:r>
          </w:p>
        </w:tc>
        <w:tc>
          <w:tcPr>
            <w:tcW w:type="dxa" w:w="2268"/>
          </w:tcPr>
          <w:p>
            <w:r/>
            <w:r>
              <w:rPr>
                <w:rFonts w:ascii="Calibri" w:hAnsi="Calibri" w:cs="Calibri" w:eastAsia="Calibri"/>
                <w:b w:val="0"/>
                <w:i w:val="0"/>
                <w:sz w:val="18"/>
                <w:szCs w:val="18"/>
              </w:rPr>
              <w:t>No single point of failure</w:t>
            </w:r>
          </w:p>
        </w:tc>
        <w:tc>
          <w:tcPr>
            <w:tcW w:type="dxa" w:w="1984"/>
          </w:tcPr>
          <w:p>
            <w:r/>
            <w:r>
              <w:rPr>
                <w:rFonts w:ascii="Calibri" w:hAnsi="Calibri" w:cs="Calibri" w:eastAsia="Calibri"/>
                <w:b w:val="0"/>
                <w:i w:val="0"/>
                <w:sz w:val="18"/>
                <w:szCs w:val="18"/>
              </w:rPr>
              <w:t>Redundant power and storage</w:t>
            </w:r>
          </w:p>
        </w:tc>
      </w:tr>
      <w:tr>
        <w:tc>
          <w:tcPr>
            <w:tcW w:type="dxa" w:w="907"/>
          </w:tcPr>
          <w:p>
            <w:r/>
            <w:r>
              <w:rPr>
                <w:rFonts w:ascii="Calibri" w:hAnsi="Calibri" w:cs="Calibri" w:eastAsia="Calibri"/>
                <w:b w:val="0"/>
                <w:i w:val="0"/>
                <w:sz w:val="18"/>
                <w:szCs w:val="18"/>
              </w:rPr>
              <w:t>RS-02</w:t>
            </w:r>
          </w:p>
        </w:tc>
        <w:tc>
          <w:tcPr>
            <w:tcW w:type="dxa" w:w="4195"/>
          </w:tcPr>
          <w:p>
            <w:r/>
            <w:r>
              <w:rPr>
                <w:rFonts w:ascii="Calibri" w:hAnsi="Calibri" w:cs="Calibri" w:eastAsia="Calibri"/>
                <w:b w:val="0"/>
                <w:i w:val="0"/>
                <w:sz w:val="18"/>
                <w:szCs w:val="18"/>
              </w:rPr>
              <w:t>Alternate site or cloud region for recovery</w:t>
            </w:r>
          </w:p>
        </w:tc>
        <w:tc>
          <w:tcPr>
            <w:tcW w:type="dxa" w:w="2268"/>
          </w:tcPr>
          <w:p>
            <w:r/>
            <w:r>
              <w:rPr>
                <w:rFonts w:ascii="Calibri" w:hAnsi="Calibri" w:cs="Calibri" w:eastAsia="Calibri"/>
                <w:b w:val="0"/>
                <w:i w:val="0"/>
                <w:sz w:val="18"/>
                <w:szCs w:val="18"/>
              </w:rPr>
              <w:t>Required; meets RTO</w:t>
            </w:r>
          </w:p>
        </w:tc>
        <w:tc>
          <w:tcPr>
            <w:tcW w:type="dxa" w:w="1984"/>
          </w:tcPr>
          <w:p>
            <w:r/>
            <w:r>
              <w:rPr>
                <w:rFonts w:ascii="Calibri" w:hAnsi="Calibri" w:cs="Calibri" w:eastAsia="Calibri"/>
                <w:b w:val="0"/>
                <w:i w:val="0"/>
                <w:sz w:val="18"/>
                <w:szCs w:val="18"/>
              </w:rPr>
              <w:t>Recommended</w:t>
            </w:r>
          </w:p>
        </w:tc>
      </w:tr>
      <w:tr>
        <w:tc>
          <w:tcPr>
            <w:tcW w:type="dxa" w:w="907"/>
          </w:tcPr>
          <w:p>
            <w:r/>
            <w:r>
              <w:rPr>
                <w:rFonts w:ascii="Calibri" w:hAnsi="Calibri" w:cs="Calibri" w:eastAsia="Calibri"/>
                <w:b w:val="0"/>
                <w:i w:val="0"/>
                <w:sz w:val="18"/>
                <w:szCs w:val="18"/>
              </w:rPr>
              <w:t>RS-03</w:t>
            </w:r>
          </w:p>
        </w:tc>
        <w:tc>
          <w:tcPr>
            <w:tcW w:type="dxa" w:w="4195"/>
          </w:tcPr>
          <w:p>
            <w:r/>
            <w:r>
              <w:rPr>
                <w:rFonts w:ascii="Calibri" w:hAnsi="Calibri" w:cs="Calibri" w:eastAsia="Calibri"/>
                <w:b w:val="0"/>
                <w:i w:val="0"/>
                <w:sz w:val="18"/>
                <w:szCs w:val="18"/>
              </w:rPr>
              <w:t>Dual internet and WAN links from different providers</w:t>
            </w:r>
          </w:p>
        </w:tc>
        <w:tc>
          <w:tcPr>
            <w:tcW w:type="dxa" w:w="2268"/>
          </w:tcPr>
          <w:p>
            <w:r/>
            <w:r>
              <w:rPr>
                <w:rFonts w:ascii="Calibri" w:hAnsi="Calibri" w:cs="Calibri" w:eastAsia="Calibri"/>
                <w:b w:val="0"/>
                <w:i w:val="0"/>
                <w:sz w:val="18"/>
                <w:szCs w:val="18"/>
              </w:rPr>
              <w:t>Required</w:t>
            </w:r>
          </w:p>
        </w:tc>
        <w:tc>
          <w:tcPr>
            <w:tcW w:type="dxa" w:w="1984"/>
          </w:tcPr>
          <w:p>
            <w:r/>
            <w:r>
              <w:rPr>
                <w:rFonts w:ascii="Calibri" w:hAnsi="Calibri" w:cs="Calibri" w:eastAsia="Calibri"/>
                <w:b w:val="0"/>
                <w:i w:val="0"/>
                <w:sz w:val="18"/>
                <w:szCs w:val="18"/>
              </w:rPr>
              <w:t>Recommended</w:t>
            </w:r>
          </w:p>
        </w:tc>
      </w:tr>
      <w:tr>
        <w:tc>
          <w:tcPr>
            <w:tcW w:type="dxa" w:w="907"/>
          </w:tcPr>
          <w:p>
            <w:r/>
            <w:r>
              <w:rPr>
                <w:rFonts w:ascii="Calibri" w:hAnsi="Calibri" w:cs="Calibri" w:eastAsia="Calibri"/>
                <w:b w:val="0"/>
                <w:i w:val="0"/>
                <w:sz w:val="18"/>
                <w:szCs w:val="18"/>
              </w:rPr>
              <w:t>RS-04</w:t>
            </w:r>
          </w:p>
        </w:tc>
        <w:tc>
          <w:tcPr>
            <w:tcW w:type="dxa" w:w="4195"/>
          </w:tcPr>
          <w:p>
            <w:r/>
            <w:r>
              <w:rPr>
                <w:rFonts w:ascii="Calibri" w:hAnsi="Calibri" w:cs="Calibri" w:eastAsia="Calibri"/>
                <w:b w:val="0"/>
                <w:i w:val="0"/>
                <w:sz w:val="18"/>
                <w:szCs w:val="18"/>
              </w:rPr>
              <w:t>Capacity monitoring (CPU, memory, storage, bandwidth) with thresholds</w:t>
            </w:r>
          </w:p>
        </w:tc>
        <w:tc>
          <w:tcPr>
            <w:tcW w:type="dxa" w:w="2268"/>
          </w:tcPr>
          <w:p>
            <w:r/>
            <w:r>
              <w:rPr>
                <w:rFonts w:ascii="Calibri" w:hAnsi="Calibri" w:cs="Calibri" w:eastAsia="Calibri"/>
                <w:b w:val="0"/>
                <w:i w:val="0"/>
                <w:sz w:val="18"/>
                <w:szCs w:val="18"/>
              </w:rPr>
              <w:t>Alert at 80%</w:t>
            </w:r>
          </w:p>
        </w:tc>
        <w:tc>
          <w:tcPr>
            <w:tcW w:type="dxa" w:w="1984"/>
          </w:tcPr>
          <w:p>
            <w:r/>
            <w:r>
              <w:rPr>
                <w:rFonts w:ascii="Calibri" w:hAnsi="Calibri" w:cs="Calibri" w:eastAsia="Calibri"/>
                <w:b w:val="0"/>
                <w:i w:val="0"/>
                <w:sz w:val="18"/>
                <w:szCs w:val="18"/>
              </w:rPr>
              <w:t>Alert at 85%</w:t>
            </w:r>
          </w:p>
        </w:tc>
      </w:tr>
      <w:tr>
        <w:tc>
          <w:tcPr>
            <w:tcW w:type="dxa" w:w="907"/>
          </w:tcPr>
          <w:p>
            <w:r/>
            <w:r>
              <w:rPr>
                <w:rFonts w:ascii="Calibri" w:hAnsi="Calibri" w:cs="Calibri" w:eastAsia="Calibri"/>
                <w:b w:val="0"/>
                <w:i w:val="0"/>
                <w:sz w:val="18"/>
                <w:szCs w:val="18"/>
              </w:rPr>
              <w:t>RS-05</w:t>
            </w:r>
          </w:p>
        </w:tc>
        <w:tc>
          <w:tcPr>
            <w:tcW w:type="dxa" w:w="4195"/>
          </w:tcPr>
          <w:p>
            <w:r/>
            <w:r>
              <w:rPr>
                <w:rFonts w:ascii="Calibri" w:hAnsi="Calibri" w:cs="Calibri" w:eastAsia="Calibri"/>
                <w:b w:val="0"/>
                <w:i w:val="0"/>
                <w:sz w:val="18"/>
                <w:szCs w:val="18"/>
              </w:rPr>
              <w:t>Capacity review and forecast</w:t>
            </w:r>
          </w:p>
        </w:tc>
        <w:tc>
          <w:tcPr>
            <w:tcW w:type="dxa" w:w="2268"/>
          </w:tcPr>
          <w:p>
            <w:r/>
            <w:r>
              <w:rPr>
                <w:rFonts w:ascii="Calibri" w:hAnsi="Calibri" w:cs="Calibri" w:eastAsia="Calibri"/>
                <w:b w:val="0"/>
                <w:i w:val="0"/>
                <w:sz w:val="18"/>
                <w:szCs w:val="18"/>
              </w:rPr>
              <w:t>Quarterly</w:t>
            </w:r>
          </w:p>
        </w:tc>
        <w:tc>
          <w:tcPr>
            <w:tcW w:type="dxa" w:w="1984"/>
          </w:tcPr>
          <w:p>
            <w:r/>
            <w:r>
              <w:rPr>
                <w:rFonts w:ascii="Calibri" w:hAnsi="Calibri" w:cs="Calibri" w:eastAsia="Calibri"/>
                <w:b w:val="0"/>
                <w:i w:val="0"/>
                <w:sz w:val="18"/>
                <w:szCs w:val="18"/>
              </w:rPr>
              <w:t>Semi-annually</w:t>
            </w:r>
          </w:p>
        </w:tc>
      </w:tr>
      <w:tr>
        <w:tc>
          <w:tcPr>
            <w:tcW w:type="dxa" w:w="907"/>
          </w:tcPr>
          <w:p>
            <w:r/>
            <w:r>
              <w:rPr>
                <w:rFonts w:ascii="Calibri" w:hAnsi="Calibri" w:cs="Calibri" w:eastAsia="Calibri"/>
                <w:b w:val="0"/>
                <w:i w:val="0"/>
                <w:sz w:val="18"/>
                <w:szCs w:val="18"/>
              </w:rPr>
              <w:t>RS-06</w:t>
            </w:r>
          </w:p>
        </w:tc>
        <w:tc>
          <w:tcPr>
            <w:tcW w:type="dxa" w:w="4195"/>
          </w:tcPr>
          <w:p>
            <w:r/>
            <w:r>
              <w:rPr>
                <w:rFonts w:ascii="Calibri" w:hAnsi="Calibri" w:cs="Calibri" w:eastAsia="Calibri"/>
                <w:b w:val="0"/>
                <w:i w:val="0"/>
                <w:sz w:val="18"/>
                <w:szCs w:val="18"/>
              </w:rPr>
              <w:t>Protection against denial of service for internet-facing services</w:t>
            </w:r>
          </w:p>
        </w:tc>
        <w:tc>
          <w:tcPr>
            <w:tcW w:type="dxa" w:w="2268"/>
          </w:tcPr>
          <w:p>
            <w:r/>
            <w:r>
              <w:rPr>
                <w:rFonts w:ascii="Calibri" w:hAnsi="Calibri" w:cs="Calibri" w:eastAsia="Calibri"/>
                <w:b w:val="0"/>
                <w:i w:val="0"/>
                <w:sz w:val="18"/>
                <w:szCs w:val="18"/>
              </w:rPr>
              <w:t>Required</w:t>
            </w:r>
          </w:p>
        </w:tc>
        <w:tc>
          <w:tcPr>
            <w:tcW w:type="dxa" w:w="1984"/>
          </w:tcPr>
          <w:p>
            <w:r/>
            <w:r>
              <w:rPr>
                <w:rFonts w:ascii="Calibri" w:hAnsi="Calibri" w:cs="Calibri" w:eastAsia="Calibri"/>
                <w:b w:val="0"/>
                <w:i w:val="0"/>
                <w:sz w:val="18"/>
                <w:szCs w:val="18"/>
              </w:rPr>
              <w:t>Required</w:t>
            </w:r>
          </w:p>
        </w:tc>
      </w:tr>
      <w:tr>
        <w:tc>
          <w:tcPr>
            <w:tcW w:type="dxa" w:w="907"/>
          </w:tcPr>
          <w:p>
            <w:r/>
            <w:r>
              <w:rPr>
                <w:rFonts w:ascii="Calibri" w:hAnsi="Calibri" w:cs="Calibri" w:eastAsia="Calibri"/>
                <w:b w:val="0"/>
                <w:i w:val="0"/>
                <w:sz w:val="18"/>
                <w:szCs w:val="18"/>
              </w:rPr>
              <w:t>RS-07</w:t>
            </w:r>
          </w:p>
        </w:tc>
        <w:tc>
          <w:tcPr>
            <w:tcW w:type="dxa" w:w="4195"/>
          </w:tcPr>
          <w:p>
            <w:r/>
            <w:r>
              <w:rPr>
                <w:rFonts w:ascii="Calibri" w:hAnsi="Calibri" w:cs="Calibri" w:eastAsia="Calibri"/>
                <w:b w:val="0"/>
                <w:i w:val="0"/>
                <w:sz w:val="18"/>
                <w:szCs w:val="18"/>
              </w:rPr>
              <w:t>Failover tested</w:t>
            </w:r>
          </w:p>
        </w:tc>
        <w:tc>
          <w:tcPr>
            <w:tcW w:type="dxa" w:w="2268"/>
          </w:tcPr>
          <w:p>
            <w:r/>
            <w:r>
              <w:rPr>
                <w:rFonts w:ascii="Calibri" w:hAnsi="Calibri" w:cs="Calibri" w:eastAsia="Calibri"/>
                <w:b w:val="0"/>
                <w:i w:val="0"/>
                <w:sz w:val="18"/>
                <w:szCs w:val="18"/>
              </w:rPr>
              <w:t>Annually</w:t>
            </w:r>
          </w:p>
        </w:tc>
        <w:tc>
          <w:tcPr>
            <w:tcW w:type="dxa" w:w="1984"/>
          </w:tcPr>
          <w:p>
            <w:r/>
            <w:r>
              <w:rPr>
                <w:rFonts w:ascii="Calibri" w:hAnsi="Calibri" w:cs="Calibri" w:eastAsia="Calibri"/>
                <w:b w:val="0"/>
                <w:i w:val="0"/>
                <w:sz w:val="18"/>
                <w:szCs w:val="18"/>
              </w:rPr>
              <w:t>Every two years</w:t>
            </w:r>
          </w:p>
        </w:tc>
      </w:tr>
    </w:tbl>
    <w:p>
      <w:pPr>
        <w:spacing w:after="40"/>
      </w:pPr>
    </w:p>
    <w:p>
      <w:pPr>
        <w:pStyle w:val="Heading2"/>
        <w:keepNext/>
        <w:spacing w:before="120" w:after="80"/>
      </w:pPr>
      <w:r>
        <w:rPr>
          <w:rFonts w:ascii="Calibri" w:hAnsi="Calibri" w:cs="Calibri" w:eastAsia="Calibri"/>
          <w:b/>
          <w:i w:val="0"/>
          <w:color w:val="1F3864"/>
          <w:sz w:val="24"/>
          <w:szCs w:val="24"/>
          <w:bCs/>
        </w:rPr>
        <w:t>4.4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Align resilience design with BIA recovery objectives; spend where RTO is shortest.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Redundant servers that share one storage array or one network switch.</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PR.IR-03: Mechanisms are implemented to achieve resilience requirements in normal and adverse situations</w:t>
            </w:r>
          </w:p>
          <w:p>
            <w:r>
              <w:rPr>
                <w:rFonts w:ascii="Calibri" w:hAnsi="Calibri" w:cs="Calibri" w:eastAsia="Calibri"/>
                <w:b w:val="0"/>
                <w:i w:val="0"/>
                <w:sz w:val="18"/>
                <w:szCs w:val="18"/>
              </w:rPr>
              <w:t>PR.IR-04: Adequate resource capacity to ensure availability is maintained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A.8.6, Annex A.8.14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CP-2(2), CP-7, SC-5</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8.6 and 8.14</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RC-POL-001: Business Continuity Management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PR-STD-017  |  Technology Resilience and Capacity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