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Change Management Procedure</w:t>
      </w:r>
    </w:p>
    <w:p>
      <w:pPr>
        <w:spacing w:after="80" w:before="0"/>
      </w:pPr>
      <w:r>
        <w:rPr>
          <w:rFonts w:ascii="Calibri" w:hAnsi="Calibri" w:cs="Calibri" w:eastAsia="Calibri"/>
          <w:b w:val="0"/>
          <w:i w:val="0"/>
          <w:color w:val="595959"/>
          <w:sz w:val="18"/>
          <w:szCs w:val="18"/>
        </w:rPr>
        <w:t>PR-PRC-006  |  Procedure  |  Platform Security (PR.PS)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PR-PRC-006</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Change Management Procedure</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IT Infrastructure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Chief Information Officer (CIO)</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26 March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26 March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3: Procedure, Plan, Playbook, and Guideline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Procedure</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Protect (PR)</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Platform Security (PR.PS)</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All</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Annex A 8.32</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Technological (A.8); tags: Process</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Essential</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12 March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IT Infrastructure Manager</w:t>
            </w:r>
          </w:p>
        </w:tc>
        <w:tc>
          <w:tcPr>
            <w:tcW w:type="dxa" w:w="1531"/>
          </w:tcPr>
          <w:p>
            <w:r/>
            <w:r>
              <w:rPr>
                <w:rFonts w:ascii="Calibri" w:hAnsi="Calibri" w:cs="Calibri" w:eastAsia="Calibri"/>
                <w:b w:val="0"/>
                <w:i w:val="0"/>
                <w:sz w:val="18"/>
                <w:szCs w:val="18"/>
              </w:rPr>
              <w:t>Chief Information Officer (CIO)</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26 March 2026</w:t>
            </w:r>
          </w:p>
        </w:tc>
        <w:tc>
          <w:tcPr>
            <w:tcW w:type="dxa" w:w="3742"/>
          </w:tcPr>
          <w:p>
            <w:r/>
            <w:r>
              <w:rPr>
                <w:rFonts w:ascii="Calibri" w:hAnsi="Calibri" w:cs="Calibri" w:eastAsia="Calibri"/>
                <w:b w:val="0"/>
                <w:i w:val="0"/>
                <w:sz w:val="18"/>
                <w:szCs w:val="18"/>
              </w:rPr>
              <w:t>Updated after the November 2025 internal audit (IA-2025-04) and the 2026 control gap review.</w:t>
            </w:r>
          </w:p>
        </w:tc>
        <w:tc>
          <w:tcPr>
            <w:tcW w:type="dxa" w:w="1587"/>
          </w:tcPr>
          <w:p>
            <w:r/>
            <w:r>
              <w:rPr>
                <w:rFonts w:ascii="Calibri" w:hAnsi="Calibri" w:cs="Calibri" w:eastAsia="Calibri"/>
                <w:b w:val="0"/>
                <w:i w:val="0"/>
                <w:sz w:val="18"/>
                <w:szCs w:val="18"/>
              </w:rPr>
              <w:t>IT Infrastructure Manager</w:t>
            </w:r>
          </w:p>
        </w:tc>
        <w:tc>
          <w:tcPr>
            <w:tcW w:type="dxa" w:w="1531"/>
          </w:tcPr>
          <w:p>
            <w:r/>
            <w:r>
              <w:rPr>
                <w:rFonts w:ascii="Calibri" w:hAnsi="Calibri" w:cs="Calibri" w:eastAsia="Calibri"/>
                <w:b w:val="0"/>
                <w:i w:val="0"/>
                <w:sz w:val="18"/>
                <w:szCs w:val="18"/>
              </w:rPr>
              <w:t>Chief Information Officer (CIO)</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procedure controls changes to systems and infrastructure so that changes are assessed for risk, approved, tested, recorded, and reversible (PR.PS-01, ID.RA-07).</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procedure applies to all units and personnel who perform or support the activities described below, including third parties acting on behalf of Chaophraya Medical Center (CMC).</w:t>
      </w:r>
    </w:p>
    <w:p>
      <w:pPr>
        <w:pStyle w:val="Heading2"/>
        <w:keepNext/>
        <w:spacing w:before="120" w:after="80"/>
      </w:pPr>
      <w:r>
        <w:rPr>
          <w:rFonts w:ascii="Calibri" w:hAnsi="Calibri" w:cs="Calibri" w:eastAsia="Calibri"/>
          <w:b/>
          <w:i w:val="0"/>
          <w:color w:val="1F3864"/>
          <w:sz w:val="24"/>
          <w:szCs w:val="24"/>
          <w:bCs/>
        </w:rPr>
        <w:t>4.3 Change Types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change categories and approval paths.</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1701"/>
        <w:gridCol w:w="3969"/>
        <w:gridCol w:w="3685"/>
      </w:tblGrid>
      <w:tr>
        <w:trPr>
          <w:tblHeader w:val="true"/>
        </w:trPr>
        <w:tc>
          <w:tcPr>
            <w:tcW w:type="dxa" w:w="1701"/>
            <w:shd w:val="clear" w:color="auto" w:fill="1F3864"/>
          </w:tcPr>
          <w:p>
            <w:r/>
            <w:r>
              <w:rPr>
                <w:rFonts w:ascii="Calibri" w:hAnsi="Calibri" w:cs="Calibri" w:eastAsia="Calibri"/>
                <w:b/>
                <w:i w:val="0"/>
                <w:color w:val="FFFFFF"/>
                <w:sz w:val="18"/>
                <w:szCs w:val="18"/>
                <w:bCs/>
              </w:rPr>
              <w:t>Type</w:t>
            </w:r>
          </w:p>
        </w:tc>
        <w:tc>
          <w:tcPr>
            <w:tcW w:type="dxa" w:w="3969"/>
            <w:shd w:val="clear" w:color="auto" w:fill="1F3864"/>
          </w:tcPr>
          <w:p>
            <w:r/>
            <w:r>
              <w:rPr>
                <w:rFonts w:ascii="Calibri" w:hAnsi="Calibri" w:cs="Calibri" w:eastAsia="Calibri"/>
                <w:b/>
                <w:i w:val="0"/>
                <w:color w:val="FFFFFF"/>
                <w:sz w:val="18"/>
                <w:szCs w:val="18"/>
                <w:bCs/>
              </w:rPr>
              <w:t>Definition</w:t>
            </w:r>
          </w:p>
        </w:tc>
        <w:tc>
          <w:tcPr>
            <w:tcW w:type="dxa" w:w="3685"/>
            <w:shd w:val="clear" w:color="auto" w:fill="1F3864"/>
          </w:tcPr>
          <w:p>
            <w:r/>
            <w:r>
              <w:rPr>
                <w:rFonts w:ascii="Calibri" w:hAnsi="Calibri" w:cs="Calibri" w:eastAsia="Calibri"/>
                <w:b/>
                <w:i w:val="0"/>
                <w:color w:val="FFFFFF"/>
                <w:sz w:val="18"/>
                <w:szCs w:val="18"/>
                <w:bCs/>
              </w:rPr>
              <w:t>Approval</w:t>
            </w:r>
          </w:p>
        </w:tc>
      </w:tr>
      <w:tr>
        <w:tc>
          <w:tcPr>
            <w:tcW w:type="dxa" w:w="1701"/>
          </w:tcPr>
          <w:p>
            <w:r/>
            <w:r>
              <w:rPr>
                <w:rFonts w:ascii="Calibri" w:hAnsi="Calibri" w:cs="Calibri" w:eastAsia="Calibri"/>
                <w:b w:val="0"/>
                <w:i w:val="0"/>
                <w:sz w:val="18"/>
                <w:szCs w:val="18"/>
              </w:rPr>
              <w:t>Standard</w:t>
            </w:r>
          </w:p>
        </w:tc>
        <w:tc>
          <w:tcPr>
            <w:tcW w:type="dxa" w:w="3969"/>
          </w:tcPr>
          <w:p>
            <w:r/>
            <w:r>
              <w:rPr>
                <w:rFonts w:ascii="Calibri" w:hAnsi="Calibri" w:cs="Calibri" w:eastAsia="Calibri"/>
                <w:b w:val="0"/>
                <w:i w:val="0"/>
                <w:sz w:val="18"/>
                <w:szCs w:val="18"/>
              </w:rPr>
              <w:t>Pre-approved, low-risk, repeatable</w:t>
            </w:r>
          </w:p>
        </w:tc>
        <w:tc>
          <w:tcPr>
            <w:tcW w:type="dxa" w:w="3685"/>
          </w:tcPr>
          <w:p>
            <w:r/>
            <w:r>
              <w:rPr>
                <w:rFonts w:ascii="Calibri" w:hAnsi="Calibri" w:cs="Calibri" w:eastAsia="Calibri"/>
                <w:b w:val="0"/>
                <w:i w:val="0"/>
                <w:sz w:val="18"/>
                <w:szCs w:val="18"/>
              </w:rPr>
              <w:t>Pre-approved template</w:t>
            </w:r>
          </w:p>
        </w:tc>
      </w:tr>
      <w:tr>
        <w:tc>
          <w:tcPr>
            <w:tcW w:type="dxa" w:w="1701"/>
          </w:tcPr>
          <w:p>
            <w:r/>
            <w:r>
              <w:rPr>
                <w:rFonts w:ascii="Calibri" w:hAnsi="Calibri" w:cs="Calibri" w:eastAsia="Calibri"/>
                <w:b w:val="0"/>
                <w:i w:val="0"/>
                <w:sz w:val="18"/>
                <w:szCs w:val="18"/>
              </w:rPr>
              <w:t>Normal</w:t>
            </w:r>
          </w:p>
        </w:tc>
        <w:tc>
          <w:tcPr>
            <w:tcW w:type="dxa" w:w="3969"/>
          </w:tcPr>
          <w:p>
            <w:r/>
            <w:r>
              <w:rPr>
                <w:rFonts w:ascii="Calibri" w:hAnsi="Calibri" w:cs="Calibri" w:eastAsia="Calibri"/>
                <w:b w:val="0"/>
                <w:i w:val="0"/>
                <w:sz w:val="18"/>
                <w:szCs w:val="18"/>
              </w:rPr>
              <w:t>Assessed case by case</w:t>
            </w:r>
          </w:p>
        </w:tc>
        <w:tc>
          <w:tcPr>
            <w:tcW w:type="dxa" w:w="3685"/>
          </w:tcPr>
          <w:p>
            <w:r/>
            <w:r>
              <w:rPr>
                <w:rFonts w:ascii="Calibri" w:hAnsi="Calibri" w:cs="Calibri" w:eastAsia="Calibri"/>
                <w:b w:val="0"/>
                <w:i w:val="0"/>
                <w:sz w:val="18"/>
                <w:szCs w:val="18"/>
              </w:rPr>
              <w:t>Change advisory board (CAB)</w:t>
            </w:r>
          </w:p>
        </w:tc>
      </w:tr>
      <w:tr>
        <w:tc>
          <w:tcPr>
            <w:tcW w:type="dxa" w:w="1701"/>
          </w:tcPr>
          <w:p>
            <w:r/>
            <w:r>
              <w:rPr>
                <w:rFonts w:ascii="Calibri" w:hAnsi="Calibri" w:cs="Calibri" w:eastAsia="Calibri"/>
                <w:b w:val="0"/>
                <w:i w:val="0"/>
                <w:sz w:val="18"/>
                <w:szCs w:val="18"/>
              </w:rPr>
              <w:t>Emergency</w:t>
            </w:r>
          </w:p>
        </w:tc>
        <w:tc>
          <w:tcPr>
            <w:tcW w:type="dxa" w:w="3969"/>
          </w:tcPr>
          <w:p>
            <w:r/>
            <w:r>
              <w:rPr>
                <w:rFonts w:ascii="Calibri" w:hAnsi="Calibri" w:cs="Calibri" w:eastAsia="Calibri"/>
                <w:b w:val="0"/>
                <w:i w:val="0"/>
                <w:sz w:val="18"/>
                <w:szCs w:val="18"/>
              </w:rPr>
              <w:t>Needed urgently to restore service or fix a critical vulnerability</w:t>
            </w:r>
          </w:p>
        </w:tc>
        <w:tc>
          <w:tcPr>
            <w:tcW w:type="dxa" w:w="3685"/>
          </w:tcPr>
          <w:p>
            <w:r/>
            <w:r>
              <w:rPr>
                <w:rFonts w:ascii="Calibri" w:hAnsi="Calibri" w:cs="Calibri" w:eastAsia="Calibri"/>
                <w:b w:val="0"/>
                <w:i w:val="0"/>
                <w:sz w:val="18"/>
                <w:szCs w:val="18"/>
              </w:rPr>
              <w:t>Emergency CAB (two approvers); retrospective review within 5 working days</w:t>
            </w:r>
          </w:p>
        </w:tc>
      </w:tr>
    </w:tbl>
    <w:p>
      <w:pPr>
        <w:spacing w:after="40"/>
      </w:pPr>
    </w:p>
    <w:p>
      <w:pPr>
        <w:pStyle w:val="Heading2"/>
        <w:keepNext/>
        <w:spacing w:before="120" w:after="80"/>
      </w:pPr>
      <w:r>
        <w:rPr>
          <w:rFonts w:ascii="Calibri" w:hAnsi="Calibri" w:cs="Calibri" w:eastAsia="Calibri"/>
          <w:b/>
          <w:i w:val="0"/>
          <w:color w:val="1F3864"/>
          <w:sz w:val="24"/>
          <w:szCs w:val="24"/>
          <w:bCs/>
        </w:rPr>
        <w:t>4.4 Process Steps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Describe steps from request to closure.</w:t>
            </w:r>
          </w:p>
        </w:tc>
      </w:tr>
    </w:tbl>
    <w:p>
      <w:pPr>
        <w:spacing w:after="0"/>
      </w:pPr>
    </w:p>
    <w:p>
      <w:pPr>
        <w:spacing w:after="40" w:before="0"/>
      </w:pPr>
      <w:r>
        <w:rPr>
          <w:rFonts w:ascii="Calibri" w:hAnsi="Calibri" w:cs="Calibri" w:eastAsia="Calibri"/>
          <w:b w:val="0"/>
          <w:i/>
          <w:color w:val="595959"/>
          <w:sz w:val="18"/>
          <w:szCs w:val="18"/>
        </w:rPr>
        <w:t>Sample content</w:t>
      </w:r>
    </w:p>
    <w:p>
      <w:pPr>
        <w:pStyle w:val="ListNumber"/>
        <w:spacing w:after="40"/>
      </w:pPr>
      <w:r>
        <w:rPr>
          <w:rFonts w:ascii="Calibri" w:hAnsi="Calibri" w:cs="Calibri" w:eastAsia="Calibri"/>
          <w:b w:val="0"/>
          <w:i w:val="0"/>
          <w:sz w:val="21"/>
          <w:szCs w:val="21"/>
        </w:rPr>
        <w:t>Submit the Change Request Form (PR-FRM-005) with description, risk, test, and rollback plans.</w:t>
      </w:r>
    </w:p>
    <w:p>
      <w:pPr>
        <w:pStyle w:val="ListNumber"/>
        <w:spacing w:after="40"/>
      </w:pPr>
      <w:r>
        <w:rPr>
          <w:rFonts w:ascii="Calibri" w:hAnsi="Calibri" w:cs="Calibri" w:eastAsia="Calibri"/>
          <w:b w:val="0"/>
          <w:i w:val="0"/>
          <w:sz w:val="21"/>
          <w:szCs w:val="21"/>
        </w:rPr>
        <w:t>Assess security impact; the Security Manager reviews changes to security controls, internet exposure, or critical systems.</w:t>
      </w:r>
    </w:p>
    <w:p>
      <w:pPr>
        <w:pStyle w:val="ListNumber"/>
        <w:spacing w:after="40"/>
      </w:pPr>
      <w:r>
        <w:rPr>
          <w:rFonts w:ascii="Calibri" w:hAnsi="Calibri" w:cs="Calibri" w:eastAsia="Calibri"/>
          <w:b w:val="0"/>
          <w:i w:val="0"/>
          <w:sz w:val="21"/>
          <w:szCs w:val="21"/>
        </w:rPr>
        <w:t>Approve at CAB; schedule outside peak hours for critical systems.</w:t>
      </w:r>
    </w:p>
    <w:p>
      <w:pPr>
        <w:pStyle w:val="ListNumber"/>
        <w:spacing w:after="40"/>
      </w:pPr>
      <w:r>
        <w:rPr>
          <w:rFonts w:ascii="Calibri" w:hAnsi="Calibri" w:cs="Calibri" w:eastAsia="Calibri"/>
          <w:b w:val="0"/>
          <w:i w:val="0"/>
          <w:sz w:val="21"/>
          <w:szCs w:val="21"/>
        </w:rPr>
        <w:t>Test in a non-production environment where possible.</w:t>
      </w:r>
    </w:p>
    <w:p>
      <w:pPr>
        <w:pStyle w:val="ListNumber"/>
        <w:spacing w:after="40"/>
      </w:pPr>
      <w:r>
        <w:rPr>
          <w:rFonts w:ascii="Calibri" w:hAnsi="Calibri" w:cs="Calibri" w:eastAsia="Calibri"/>
          <w:b w:val="0"/>
          <w:i w:val="0"/>
          <w:sz w:val="21"/>
          <w:szCs w:val="21"/>
        </w:rPr>
        <w:t>Implement, verify, and update the inventory and diagrams.</w:t>
      </w:r>
    </w:p>
    <w:p>
      <w:pPr>
        <w:pStyle w:val="ListNumber"/>
        <w:spacing w:after="40"/>
      </w:pPr>
      <w:r>
        <w:rPr>
          <w:rFonts w:ascii="Calibri" w:hAnsi="Calibri" w:cs="Calibri" w:eastAsia="Calibri"/>
          <w:b w:val="0"/>
          <w:i w:val="0"/>
          <w:sz w:val="21"/>
          <w:szCs w:val="21"/>
        </w:rPr>
        <w:t>Close the change; review failed changes.</w:t>
      </w:r>
    </w:p>
    <w:p>
      <w:pPr>
        <w:pStyle w:val="Heading2"/>
        <w:keepNext/>
        <w:spacing w:before="120" w:after="80"/>
      </w:pPr>
      <w:r>
        <w:rPr>
          <w:rFonts w:ascii="Calibri" w:hAnsi="Calibri" w:cs="Calibri" w:eastAsia="Calibri"/>
          <w:b/>
          <w:i w:val="0"/>
          <w:color w:val="1F3864"/>
          <w:sz w:val="24"/>
          <w:szCs w:val="24"/>
          <w:bCs/>
        </w:rPr>
        <w:t>4.5 Records Produced</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List the forms, records, and registers this process produces and where they are kept.</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PR-FRM-005: Change Request Form</w:t>
      </w:r>
    </w:p>
    <w:p>
      <w:pPr>
        <w:pStyle w:val="ListBullet"/>
        <w:spacing w:after="40"/>
      </w:pPr>
      <w:r>
        <w:rPr>
          <w:rFonts w:ascii="Calibri" w:hAnsi="Calibri" w:cs="Calibri" w:eastAsia="Calibri"/>
          <w:b w:val="0"/>
          <w:i w:val="0"/>
          <w:sz w:val="21"/>
          <w:szCs w:val="21"/>
        </w:rPr>
        <w:t>Records are retained according to the Data Retention and Disposal Standard (PR-STD-007).</w:t>
      </w: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Detect unauthorized changes with configuration monitoring and compare against approved changes.</w:t>
      </w:r>
    </w:p>
    <w:p>
      <w:pPr>
        <w:pStyle w:val="ListBullet"/>
        <w:spacing w:after="40"/>
      </w:pPr>
      <w:r>
        <w:rPr>
          <w:rFonts w:ascii="Calibri" w:hAnsi="Calibri" w:cs="Calibri" w:eastAsia="Calibri"/>
          <w:b w:val="0"/>
          <w:i w:val="0"/>
          <w:sz w:val="21"/>
          <w:szCs w:val="21"/>
        </w:rPr>
        <w:t>Include the security team as a standing CAB member.</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Emergency changes become the normal route to avoid CAB.</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PR.PS-01: Configuration management practices are established and applied</w:t>
            </w:r>
          </w:p>
          <w:p>
            <w:r>
              <w:rPr>
                <w:rFonts w:ascii="Calibri" w:hAnsi="Calibri" w:cs="Calibri" w:eastAsia="Calibri"/>
                <w:b w:val="0"/>
                <w:i w:val="0"/>
                <w:sz w:val="18"/>
                <w:szCs w:val="18"/>
              </w:rPr>
              <w:t>ID.RA-07: Changes and exceptions are managed, assessed for risk impact, recorded, and tracked</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A.8.32</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CM-3, CM-4</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Annex A 8.32</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GV-POL-001: Information Security Policy</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PR-FRM-005: Change Request Form</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PR-PRC-006  |  Change Management Procedure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