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Patch Management Procedure</w:t>
      </w:r>
    </w:p>
    <w:p>
      <w:pPr>
        <w:spacing w:after="80" w:before="0"/>
      </w:pPr>
      <w:r>
        <w:rPr>
          <w:rFonts w:ascii="Calibri" w:hAnsi="Calibri" w:cs="Calibri" w:eastAsia="Calibri"/>
          <w:b w:val="0"/>
          <w:i w:val="0"/>
          <w:color w:val="595959"/>
          <w:sz w:val="18"/>
          <w:szCs w:val="18"/>
        </w:rPr>
        <w:t>PR-PRC-007  |  Procedure  |  Platform Security (PR.PS)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PR-PRC-007</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Patch Management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21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21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Platform Security (PR.PS)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8.8 and 8.19</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26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21 September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ensures that security updates for operating systems, applications, firmware, and devices are evaluated, tested, deployed, and verified within the timelines in ID-STD-002 (PR.PS-02, PR.PS-03).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Patch Cycle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monthly cycle and emergency path.</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417"/>
        <w:gridCol w:w="5386"/>
        <w:gridCol w:w="2551"/>
      </w:tblGrid>
      <w:tr>
        <w:trPr>
          <w:tblHeader w:val="true"/>
        </w:trPr>
        <w:tc>
          <w:tcPr>
            <w:tcW w:type="dxa" w:w="1417"/>
            <w:shd w:val="clear" w:color="auto" w:fill="1F3864"/>
          </w:tcPr>
          <w:p>
            <w:r/>
            <w:r>
              <w:rPr>
                <w:rFonts w:ascii="Calibri" w:hAnsi="Calibri" w:cs="Calibri" w:eastAsia="Calibri"/>
                <w:b/>
                <w:i w:val="0"/>
                <w:color w:val="FFFFFF"/>
                <w:sz w:val="18"/>
                <w:szCs w:val="18"/>
                <w:bCs/>
              </w:rPr>
              <w:t>Phase</w:t>
            </w:r>
          </w:p>
        </w:tc>
        <w:tc>
          <w:tcPr>
            <w:tcW w:type="dxa" w:w="5386"/>
            <w:shd w:val="clear" w:color="auto" w:fill="1F3864"/>
          </w:tcPr>
          <w:p>
            <w:r/>
            <w:r>
              <w:rPr>
                <w:rFonts w:ascii="Calibri" w:hAnsi="Calibri" w:cs="Calibri" w:eastAsia="Calibri"/>
                <w:b/>
                <w:i w:val="0"/>
                <w:color w:val="FFFFFF"/>
                <w:sz w:val="18"/>
                <w:szCs w:val="18"/>
                <w:bCs/>
              </w:rPr>
              <w:t>Activity</w:t>
            </w:r>
          </w:p>
        </w:tc>
        <w:tc>
          <w:tcPr>
            <w:tcW w:type="dxa" w:w="2551"/>
            <w:shd w:val="clear" w:color="auto" w:fill="1F3864"/>
          </w:tcPr>
          <w:p>
            <w:r/>
            <w:r>
              <w:rPr>
                <w:rFonts w:ascii="Calibri" w:hAnsi="Calibri" w:cs="Calibri" w:eastAsia="Calibri"/>
                <w:b/>
                <w:i w:val="0"/>
                <w:color w:val="FFFFFF"/>
                <w:sz w:val="18"/>
                <w:szCs w:val="18"/>
                <w:bCs/>
              </w:rPr>
              <w:t>Timing</w:t>
            </w:r>
          </w:p>
        </w:tc>
      </w:tr>
      <w:tr>
        <w:tc>
          <w:tcPr>
            <w:tcW w:type="dxa" w:w="1417"/>
          </w:tcPr>
          <w:p>
            <w:r/>
            <w:r>
              <w:rPr>
                <w:rFonts w:ascii="Calibri" w:hAnsi="Calibri" w:cs="Calibri" w:eastAsia="Calibri"/>
                <w:b w:val="0"/>
                <w:i w:val="0"/>
                <w:sz w:val="18"/>
                <w:szCs w:val="18"/>
              </w:rPr>
              <w:t>Identify</w:t>
            </w:r>
          </w:p>
        </w:tc>
        <w:tc>
          <w:tcPr>
            <w:tcW w:type="dxa" w:w="5386"/>
          </w:tcPr>
          <w:p>
            <w:r/>
            <w:r>
              <w:rPr>
                <w:rFonts w:ascii="Calibri" w:hAnsi="Calibri" w:cs="Calibri" w:eastAsia="Calibri"/>
                <w:b w:val="0"/>
                <w:i w:val="0"/>
                <w:sz w:val="18"/>
                <w:szCs w:val="18"/>
              </w:rPr>
              <w:t>Collect vendor releases and advisories; map to assets</w:t>
            </w:r>
          </w:p>
        </w:tc>
        <w:tc>
          <w:tcPr>
            <w:tcW w:type="dxa" w:w="2551"/>
          </w:tcPr>
          <w:p>
            <w:r/>
            <w:r>
              <w:rPr>
                <w:rFonts w:ascii="Calibri" w:hAnsi="Calibri" w:cs="Calibri" w:eastAsia="Calibri"/>
                <w:b w:val="0"/>
                <w:i w:val="0"/>
                <w:sz w:val="18"/>
                <w:szCs w:val="18"/>
              </w:rPr>
              <w:t>Release day</w:t>
            </w:r>
          </w:p>
        </w:tc>
      </w:tr>
      <w:tr>
        <w:tc>
          <w:tcPr>
            <w:tcW w:type="dxa" w:w="1417"/>
          </w:tcPr>
          <w:p>
            <w:r/>
            <w:r>
              <w:rPr>
                <w:rFonts w:ascii="Calibri" w:hAnsi="Calibri" w:cs="Calibri" w:eastAsia="Calibri"/>
                <w:b w:val="0"/>
                <w:i w:val="0"/>
                <w:sz w:val="18"/>
                <w:szCs w:val="18"/>
              </w:rPr>
              <w:t>Assess</w:t>
            </w:r>
          </w:p>
        </w:tc>
        <w:tc>
          <w:tcPr>
            <w:tcW w:type="dxa" w:w="5386"/>
          </w:tcPr>
          <w:p>
            <w:r/>
            <w:r>
              <w:rPr>
                <w:rFonts w:ascii="Calibri" w:hAnsi="Calibri" w:cs="Calibri" w:eastAsia="Calibri"/>
                <w:b w:val="0"/>
                <w:i w:val="0"/>
                <w:sz w:val="18"/>
                <w:szCs w:val="18"/>
              </w:rPr>
              <w:t>Prioritize by severity, exploitation, exposure, criticality</w:t>
            </w:r>
          </w:p>
        </w:tc>
        <w:tc>
          <w:tcPr>
            <w:tcW w:type="dxa" w:w="2551"/>
          </w:tcPr>
          <w:p>
            <w:r/>
            <w:r>
              <w:rPr>
                <w:rFonts w:ascii="Calibri" w:hAnsi="Calibri" w:cs="Calibri" w:eastAsia="Calibri"/>
                <w:b w:val="0"/>
                <w:i w:val="0"/>
                <w:sz w:val="18"/>
                <w:szCs w:val="18"/>
              </w:rPr>
              <w:t>Within 2 working days</w:t>
            </w:r>
          </w:p>
        </w:tc>
      </w:tr>
      <w:tr>
        <w:tc>
          <w:tcPr>
            <w:tcW w:type="dxa" w:w="1417"/>
          </w:tcPr>
          <w:p>
            <w:r/>
            <w:r>
              <w:rPr>
                <w:rFonts w:ascii="Calibri" w:hAnsi="Calibri" w:cs="Calibri" w:eastAsia="Calibri"/>
                <w:b w:val="0"/>
                <w:i w:val="0"/>
                <w:sz w:val="18"/>
                <w:szCs w:val="18"/>
              </w:rPr>
              <w:t>Test</w:t>
            </w:r>
          </w:p>
        </w:tc>
        <w:tc>
          <w:tcPr>
            <w:tcW w:type="dxa" w:w="5386"/>
          </w:tcPr>
          <w:p>
            <w:r/>
            <w:r>
              <w:rPr>
                <w:rFonts w:ascii="Calibri" w:hAnsi="Calibri" w:cs="Calibri" w:eastAsia="Calibri"/>
                <w:b w:val="0"/>
                <w:i w:val="0"/>
                <w:sz w:val="18"/>
                <w:szCs w:val="18"/>
              </w:rPr>
              <w:t>Deploy to a pilot group or test environment</w:t>
            </w:r>
          </w:p>
        </w:tc>
        <w:tc>
          <w:tcPr>
            <w:tcW w:type="dxa" w:w="2551"/>
          </w:tcPr>
          <w:p>
            <w:r/>
            <w:r>
              <w:rPr>
                <w:rFonts w:ascii="Calibri" w:hAnsi="Calibri" w:cs="Calibri" w:eastAsia="Calibri"/>
                <w:b w:val="0"/>
                <w:i w:val="0"/>
                <w:sz w:val="18"/>
                <w:szCs w:val="18"/>
              </w:rPr>
              <w:t>Within 5 working days</w:t>
            </w:r>
          </w:p>
        </w:tc>
      </w:tr>
      <w:tr>
        <w:tc>
          <w:tcPr>
            <w:tcW w:type="dxa" w:w="1417"/>
          </w:tcPr>
          <w:p>
            <w:r/>
            <w:r>
              <w:rPr>
                <w:rFonts w:ascii="Calibri" w:hAnsi="Calibri" w:cs="Calibri" w:eastAsia="Calibri"/>
                <w:b w:val="0"/>
                <w:i w:val="0"/>
                <w:sz w:val="18"/>
                <w:szCs w:val="18"/>
              </w:rPr>
              <w:t>Deploy</w:t>
            </w:r>
          </w:p>
        </w:tc>
        <w:tc>
          <w:tcPr>
            <w:tcW w:type="dxa" w:w="5386"/>
          </w:tcPr>
          <w:p>
            <w:r/>
            <w:r>
              <w:rPr>
                <w:rFonts w:ascii="Calibri" w:hAnsi="Calibri" w:cs="Calibri" w:eastAsia="Calibri"/>
                <w:b w:val="0"/>
                <w:i w:val="0"/>
                <w:sz w:val="18"/>
                <w:szCs w:val="18"/>
              </w:rPr>
              <w:t>Roll out in rings: pilot, general, critical systems in maintenance windows</w:t>
            </w:r>
          </w:p>
        </w:tc>
        <w:tc>
          <w:tcPr>
            <w:tcW w:type="dxa" w:w="2551"/>
          </w:tcPr>
          <w:p>
            <w:r/>
            <w:r>
              <w:rPr>
                <w:rFonts w:ascii="Calibri" w:hAnsi="Calibri" w:cs="Calibri" w:eastAsia="Calibri"/>
                <w:b w:val="0"/>
                <w:i w:val="0"/>
                <w:sz w:val="18"/>
                <w:szCs w:val="18"/>
              </w:rPr>
              <w:t>Per ID-STD-002 timelines</w:t>
            </w:r>
          </w:p>
        </w:tc>
      </w:tr>
      <w:tr>
        <w:tc>
          <w:tcPr>
            <w:tcW w:type="dxa" w:w="1417"/>
          </w:tcPr>
          <w:p>
            <w:r/>
            <w:r>
              <w:rPr>
                <w:rFonts w:ascii="Calibri" w:hAnsi="Calibri" w:cs="Calibri" w:eastAsia="Calibri"/>
                <w:b w:val="0"/>
                <w:i w:val="0"/>
                <w:sz w:val="18"/>
                <w:szCs w:val="18"/>
              </w:rPr>
              <w:t>Verify</w:t>
            </w:r>
          </w:p>
        </w:tc>
        <w:tc>
          <w:tcPr>
            <w:tcW w:type="dxa" w:w="5386"/>
          </w:tcPr>
          <w:p>
            <w:r/>
            <w:r>
              <w:rPr>
                <w:rFonts w:ascii="Calibri" w:hAnsi="Calibri" w:cs="Calibri" w:eastAsia="Calibri"/>
                <w:b w:val="0"/>
                <w:i w:val="0"/>
                <w:sz w:val="18"/>
                <w:szCs w:val="18"/>
              </w:rPr>
              <w:t>Confirm installation through endpoint management and rescans</w:t>
            </w:r>
          </w:p>
        </w:tc>
        <w:tc>
          <w:tcPr>
            <w:tcW w:type="dxa" w:w="2551"/>
          </w:tcPr>
          <w:p>
            <w:r/>
            <w:r>
              <w:rPr>
                <w:rFonts w:ascii="Calibri" w:hAnsi="Calibri" w:cs="Calibri" w:eastAsia="Calibri"/>
                <w:b w:val="0"/>
                <w:i w:val="0"/>
                <w:sz w:val="18"/>
                <w:szCs w:val="18"/>
              </w:rPr>
              <w:t>After each ring</w:t>
            </w:r>
          </w:p>
        </w:tc>
      </w:tr>
      <w:tr>
        <w:tc>
          <w:tcPr>
            <w:tcW w:type="dxa" w:w="1417"/>
          </w:tcPr>
          <w:p>
            <w:r/>
            <w:r>
              <w:rPr>
                <w:rFonts w:ascii="Calibri" w:hAnsi="Calibri" w:cs="Calibri" w:eastAsia="Calibri"/>
                <w:b w:val="0"/>
                <w:i w:val="0"/>
                <w:sz w:val="18"/>
                <w:szCs w:val="18"/>
              </w:rPr>
              <w:t>Emergency</w:t>
            </w:r>
          </w:p>
        </w:tc>
        <w:tc>
          <w:tcPr>
            <w:tcW w:type="dxa" w:w="5386"/>
          </w:tcPr>
          <w:p>
            <w:r/>
            <w:r>
              <w:rPr>
                <w:rFonts w:ascii="Calibri" w:hAnsi="Calibri" w:cs="Calibri" w:eastAsia="Calibri"/>
                <w:b w:val="0"/>
                <w:i w:val="0"/>
                <w:sz w:val="18"/>
                <w:szCs w:val="18"/>
              </w:rPr>
              <w:t>Known exploited critical vulnerability: emergency change, deploy within 48 hours for internet-facing systems</w:t>
            </w:r>
          </w:p>
        </w:tc>
        <w:tc>
          <w:tcPr>
            <w:tcW w:type="dxa" w:w="2551"/>
          </w:tcPr>
          <w:p>
            <w:r/>
            <w:r>
              <w:rPr>
                <w:rFonts w:ascii="Calibri" w:hAnsi="Calibri" w:cs="Calibri" w:eastAsia="Calibri"/>
                <w:b w:val="0"/>
                <w:i w:val="0"/>
                <w:sz w:val="18"/>
                <w:szCs w:val="18"/>
              </w:rPr>
              <w:t>As required</w:t>
            </w:r>
          </w:p>
        </w:tc>
      </w:tr>
    </w:tbl>
    <w:p>
      <w:pPr>
        <w:spacing w:after="40"/>
      </w:pPr>
    </w:p>
    <w:p>
      <w:pPr>
        <w:pStyle w:val="Heading2"/>
        <w:keepNext/>
        <w:spacing w:before="120" w:after="80"/>
      </w:pPr>
      <w:r>
        <w:rPr>
          <w:rFonts w:ascii="Calibri" w:hAnsi="Calibri" w:cs="Calibri" w:eastAsia="Calibri"/>
          <w:b/>
          <w:i w:val="0"/>
          <w:color w:val="1F3864"/>
          <w:sz w:val="24"/>
          <w:szCs w:val="24"/>
          <w:bCs/>
        </w:rPr>
        <w:t>4.4 Systems That Cannot Be Patched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how unpatchable systems are handled.</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Where a vendor does not support a patch (for example, medical or OT devices), apply compensating controls such as network isolation, application allowlisting, and monitoring, and record an exception (GV-PRC-003).</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Agree standing maintenance windows with business owners so critical systems are not skipped.</w:t>
      </w:r>
    </w:p>
    <w:p>
      <w:pPr>
        <w:pStyle w:val="ListBullet"/>
        <w:spacing w:after="40"/>
      </w:pPr>
      <w:r>
        <w:rPr>
          <w:rFonts w:ascii="Calibri" w:hAnsi="Calibri" w:cs="Calibri" w:eastAsia="Calibri"/>
          <w:b w:val="0"/>
          <w:i w:val="0"/>
          <w:sz w:val="21"/>
          <w:szCs w:val="21"/>
        </w:rPr>
        <w:t>Patch third-party applications (browsers, PDF readers, Java), not only the operating system.</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Critical servers are excluded from patching 'because they are critical'.</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PR.PS-02: Software is maintained, replaced, and removed commensurate with risk</w:t>
            </w:r>
          </w:p>
          <w:p>
            <w:r>
              <w:rPr>
                <w:rFonts w:ascii="Calibri" w:hAnsi="Calibri" w:cs="Calibri" w:eastAsia="Calibri"/>
                <w:b w:val="0"/>
                <w:i w:val="0"/>
                <w:sz w:val="18"/>
                <w:szCs w:val="18"/>
              </w:rPr>
              <w:t>PR.PS-03: Hardware is maintained, replaced, and removed commensurate with risk</w:t>
            </w:r>
          </w:p>
          <w:p>
            <w:r>
              <w:rPr>
                <w:rFonts w:ascii="Calibri" w:hAnsi="Calibri" w:cs="Calibri" w:eastAsia="Calibri"/>
                <w:b w:val="0"/>
                <w:i w:val="0"/>
                <w:sz w:val="18"/>
                <w:szCs w:val="18"/>
              </w:rPr>
              <w:t>ID.RA-01: Vulnerabilities in assets are identified, validated, and recorded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A.8.8, Annex A.8.19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SI-2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8.8 and 8.19</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ID-STD-002: Vulnerability Scanning and Remediation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PR-PRC-007  |  Patch Management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