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Secure Configuration Baseline Standard</w:t>
      </w:r>
    </w:p>
    <w:p>
      <w:pPr>
        <w:spacing w:after="80" w:before="0"/>
      </w:pPr>
      <w:r>
        <w:rPr>
          <w:rFonts w:ascii="Calibri" w:hAnsi="Calibri" w:cs="Calibri" w:eastAsia="Calibri"/>
          <w:b w:val="0"/>
          <w:i w:val="0"/>
          <w:color w:val="595959"/>
          <w:sz w:val="18"/>
          <w:szCs w:val="18"/>
        </w:rPr>
        <w:t>PR-STD-010  |  Standard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PR-STD-010</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Secure Configuration Baseline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15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15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8.9; CIS Controls v8.1 Control 4; CIS Benchmarks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5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15 July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requires every system to be built and kept to an approved secure configuration baseline, and defines how baselines are set, applied, and checked (PR.PS-01).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configuration management requirements.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8448"/>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8447"/>
            <w:shd w:val="clear" w:color="auto" w:fill="1F3864"/>
          </w:tcPr>
          <w:p>
            <w:r/>
            <w:r>
              <w:rPr>
                <w:rFonts w:ascii="Calibri" w:hAnsi="Calibri" w:cs="Calibri" w:eastAsia="Calibri"/>
                <w:b/>
                <w:i w:val="0"/>
                <w:color w:val="FFFFFF"/>
                <w:sz w:val="18"/>
                <w:szCs w:val="18"/>
                <w:bCs/>
              </w:rPr>
              <w:t>Requirement</w:t>
            </w:r>
          </w:p>
        </w:tc>
      </w:tr>
      <w:tr>
        <w:tc>
          <w:tcPr>
            <w:tcW w:type="dxa" w:w="907"/>
          </w:tcPr>
          <w:p>
            <w:r/>
            <w:r>
              <w:rPr>
                <w:rFonts w:ascii="Calibri" w:hAnsi="Calibri" w:cs="Calibri" w:eastAsia="Calibri"/>
                <w:b w:val="0"/>
                <w:i w:val="0"/>
                <w:sz w:val="18"/>
                <w:szCs w:val="18"/>
              </w:rPr>
              <w:t>CF-01</w:t>
            </w:r>
          </w:p>
        </w:tc>
        <w:tc>
          <w:tcPr>
            <w:tcW w:type="dxa" w:w="8447"/>
          </w:tcPr>
          <w:p>
            <w:r/>
            <w:r>
              <w:rPr>
                <w:rFonts w:ascii="Calibri" w:hAnsi="Calibri" w:cs="Calibri" w:eastAsia="Calibri"/>
                <w:b w:val="0"/>
                <w:i w:val="0"/>
                <w:sz w:val="18"/>
                <w:szCs w:val="18"/>
              </w:rPr>
              <w:t>Baselines exist for each platform (Windows, Linux, network devices, databases, cloud services), based on CIS Benchmarks Level 1 or vendor hardening guides.</w:t>
            </w:r>
          </w:p>
        </w:tc>
      </w:tr>
      <w:tr>
        <w:tc>
          <w:tcPr>
            <w:tcW w:type="dxa" w:w="907"/>
          </w:tcPr>
          <w:p>
            <w:r/>
            <w:r>
              <w:rPr>
                <w:rFonts w:ascii="Calibri" w:hAnsi="Calibri" w:cs="Calibri" w:eastAsia="Calibri"/>
                <w:b w:val="0"/>
                <w:i w:val="0"/>
                <w:sz w:val="18"/>
                <w:szCs w:val="18"/>
              </w:rPr>
              <w:t>CF-02</w:t>
            </w:r>
          </w:p>
        </w:tc>
        <w:tc>
          <w:tcPr>
            <w:tcW w:type="dxa" w:w="8447"/>
          </w:tcPr>
          <w:p>
            <w:r/>
            <w:r>
              <w:rPr>
                <w:rFonts w:ascii="Calibri" w:hAnsi="Calibri" w:cs="Calibri" w:eastAsia="Calibri"/>
                <w:b w:val="0"/>
                <w:i w:val="0"/>
                <w:sz w:val="18"/>
                <w:szCs w:val="18"/>
              </w:rPr>
              <w:t>New systems are built from approved images or templates that apply the baseline.</w:t>
            </w:r>
          </w:p>
        </w:tc>
      </w:tr>
      <w:tr>
        <w:tc>
          <w:tcPr>
            <w:tcW w:type="dxa" w:w="907"/>
          </w:tcPr>
          <w:p>
            <w:r/>
            <w:r>
              <w:rPr>
                <w:rFonts w:ascii="Calibri" w:hAnsi="Calibri" w:cs="Calibri" w:eastAsia="Calibri"/>
                <w:b w:val="0"/>
                <w:i w:val="0"/>
                <w:sz w:val="18"/>
                <w:szCs w:val="18"/>
              </w:rPr>
              <w:t>CF-03</w:t>
            </w:r>
          </w:p>
        </w:tc>
        <w:tc>
          <w:tcPr>
            <w:tcW w:type="dxa" w:w="8447"/>
          </w:tcPr>
          <w:p>
            <w:r/>
            <w:r>
              <w:rPr>
                <w:rFonts w:ascii="Calibri" w:hAnsi="Calibri" w:cs="Calibri" w:eastAsia="Calibri"/>
                <w:b w:val="0"/>
                <w:i w:val="0"/>
                <w:sz w:val="18"/>
                <w:szCs w:val="18"/>
              </w:rPr>
              <w:t>Unnecessary services, ports, accounts, and software are removed or disabled.</w:t>
            </w:r>
          </w:p>
        </w:tc>
      </w:tr>
      <w:tr>
        <w:tc>
          <w:tcPr>
            <w:tcW w:type="dxa" w:w="907"/>
          </w:tcPr>
          <w:p>
            <w:r/>
            <w:r>
              <w:rPr>
                <w:rFonts w:ascii="Calibri" w:hAnsi="Calibri" w:cs="Calibri" w:eastAsia="Calibri"/>
                <w:b w:val="0"/>
                <w:i w:val="0"/>
                <w:sz w:val="18"/>
                <w:szCs w:val="18"/>
              </w:rPr>
              <w:t>CF-04</w:t>
            </w:r>
          </w:p>
        </w:tc>
        <w:tc>
          <w:tcPr>
            <w:tcW w:type="dxa" w:w="8447"/>
          </w:tcPr>
          <w:p>
            <w:r/>
            <w:r>
              <w:rPr>
                <w:rFonts w:ascii="Calibri" w:hAnsi="Calibri" w:cs="Calibri" w:eastAsia="Calibri"/>
                <w:b w:val="0"/>
                <w:i w:val="0"/>
                <w:sz w:val="18"/>
                <w:szCs w:val="18"/>
              </w:rPr>
              <w:t>Configuration compliance is scanned at least monthly; deviations are fixed or approved as exceptions.</w:t>
            </w:r>
          </w:p>
        </w:tc>
      </w:tr>
      <w:tr>
        <w:tc>
          <w:tcPr>
            <w:tcW w:type="dxa" w:w="907"/>
          </w:tcPr>
          <w:p>
            <w:r/>
            <w:r>
              <w:rPr>
                <w:rFonts w:ascii="Calibri" w:hAnsi="Calibri" w:cs="Calibri" w:eastAsia="Calibri"/>
                <w:b w:val="0"/>
                <w:i w:val="0"/>
                <w:sz w:val="18"/>
                <w:szCs w:val="18"/>
              </w:rPr>
              <w:t>CF-05</w:t>
            </w:r>
          </w:p>
        </w:tc>
        <w:tc>
          <w:tcPr>
            <w:tcW w:type="dxa" w:w="8447"/>
          </w:tcPr>
          <w:p>
            <w:r/>
            <w:r>
              <w:rPr>
                <w:rFonts w:ascii="Calibri" w:hAnsi="Calibri" w:cs="Calibri" w:eastAsia="Calibri"/>
                <w:b w:val="0"/>
                <w:i w:val="0"/>
                <w:sz w:val="18"/>
                <w:szCs w:val="18"/>
              </w:rPr>
              <w:t>Baseline changes follow the Change Management Procedure (PR-PRC-006).</w:t>
            </w:r>
          </w:p>
        </w:tc>
      </w:tr>
      <w:tr>
        <w:tc>
          <w:tcPr>
            <w:tcW w:type="dxa" w:w="907"/>
          </w:tcPr>
          <w:p>
            <w:r/>
            <w:r>
              <w:rPr>
                <w:rFonts w:ascii="Calibri" w:hAnsi="Calibri" w:cs="Calibri" w:eastAsia="Calibri"/>
                <w:b w:val="0"/>
                <w:i w:val="0"/>
                <w:sz w:val="18"/>
                <w:szCs w:val="18"/>
              </w:rPr>
              <w:t>CF-06</w:t>
            </w:r>
          </w:p>
        </w:tc>
        <w:tc>
          <w:tcPr>
            <w:tcW w:type="dxa" w:w="8447"/>
          </w:tcPr>
          <w:p>
            <w:r/>
            <w:r>
              <w:rPr>
                <w:rFonts w:ascii="Calibri" w:hAnsi="Calibri" w:cs="Calibri" w:eastAsia="Calibri"/>
                <w:b w:val="0"/>
                <w:i w:val="0"/>
                <w:sz w:val="18"/>
                <w:szCs w:val="18"/>
              </w:rPr>
              <w:t>Baselines are reviewed annually and when vendors release major versions.</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Automate baseline enforcement with group policy, configuration management tools, or cloud policies.</w:t>
      </w:r>
    </w:p>
    <w:p>
      <w:pPr>
        <w:pStyle w:val="ListBullet"/>
        <w:spacing w:after="40"/>
      </w:pPr>
      <w:r>
        <w:rPr>
          <w:rFonts w:ascii="Calibri" w:hAnsi="Calibri" w:cs="Calibri" w:eastAsia="Calibri"/>
          <w:b w:val="0"/>
          <w:i w:val="0"/>
          <w:sz w:val="21"/>
          <w:szCs w:val="21"/>
        </w:rPr>
        <w:t>Test baselines on clinical or production applications before broad rollout.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Applying CIS Level 2 settings everywhere without testing, breaking applications.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PR.PS-01: Configuration management practices are established and applied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CM-2, CM-6, CM-7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8.9; CIS Controls v8.1 Control 4; CIS Benchmarks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PR-STD-010  |  Secure Configuration Baseline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