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Logging Standard</w:t>
      </w:r>
    </w:p>
    <w:p>
      <w:pPr>
        <w:spacing w:after="80" w:before="0"/>
      </w:pPr>
      <w:r>
        <w:rPr>
          <w:rFonts w:ascii="Calibri" w:hAnsi="Calibri" w:cs="Calibri" w:eastAsia="Calibri"/>
          <w:b w:val="0"/>
          <w:i w:val="0"/>
          <w:color w:val="595959"/>
          <w:sz w:val="18"/>
          <w:szCs w:val="18"/>
        </w:rPr>
        <w:t>PR-STD-011  |  Standard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Logging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5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5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CCA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Computer Crime Act B.E. 2550 s.26 (service providers retain computer traffic data for at least 90 days; the Act sets the duty, not the document); ISO/IEC 27001:2022 Annex A 8.15 and 8.17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6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5 May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which events must be logged, how logs are protected, synchronized, retained, and forwarded for monitoring, including computer traffic data retention under the Computer Crime Act B.E. 2550 s.26 (PR.PS-04).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Events to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minimum log events by source.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835"/>
        <w:gridCol w:w="6520"/>
      </w:tblGrid>
      <w:tr>
        <w:trPr>
          <w:tblHeader w:val="true"/>
        </w:trPr>
        <w:tc>
          <w:tcPr>
            <w:tcW w:type="dxa" w:w="2835"/>
            <w:shd w:val="clear" w:color="auto" w:fill="1F3864"/>
          </w:tcPr>
          <w:p>
            <w:r/>
            <w:r>
              <w:rPr>
                <w:rFonts w:ascii="Calibri" w:hAnsi="Calibri" w:cs="Calibri" w:eastAsia="Calibri"/>
                <w:b/>
                <w:i w:val="0"/>
                <w:color w:val="FFFFFF"/>
                <w:sz w:val="18"/>
                <w:szCs w:val="18"/>
                <w:bCs/>
              </w:rPr>
              <w:t>Source</w:t>
            </w:r>
          </w:p>
        </w:tc>
        <w:tc>
          <w:tcPr>
            <w:tcW w:type="dxa" w:w="6520"/>
            <w:shd w:val="clear" w:color="auto" w:fill="1F3864"/>
          </w:tcPr>
          <w:p>
            <w:r/>
            <w:r>
              <w:rPr>
                <w:rFonts w:ascii="Calibri" w:hAnsi="Calibri" w:cs="Calibri" w:eastAsia="Calibri"/>
                <w:b/>
                <w:i w:val="0"/>
                <w:color w:val="FFFFFF"/>
                <w:sz w:val="18"/>
                <w:szCs w:val="18"/>
                <w:bCs/>
              </w:rPr>
              <w:t>Minimum events</w:t>
            </w:r>
          </w:p>
        </w:tc>
      </w:tr>
      <w:tr>
        <w:tc>
          <w:tcPr>
            <w:tcW w:type="dxa" w:w="2835"/>
          </w:tcPr>
          <w:p>
            <w:r/>
            <w:r>
              <w:rPr>
                <w:rFonts w:ascii="Calibri" w:hAnsi="Calibri" w:cs="Calibri" w:eastAsia="Calibri"/>
                <w:b w:val="0"/>
                <w:i w:val="0"/>
                <w:sz w:val="18"/>
                <w:szCs w:val="18"/>
              </w:rPr>
              <w:t>Identity systems</w:t>
            </w:r>
          </w:p>
        </w:tc>
        <w:tc>
          <w:tcPr>
            <w:tcW w:type="dxa" w:w="6520"/>
          </w:tcPr>
          <w:p>
            <w:r/>
            <w:r>
              <w:rPr>
                <w:rFonts w:ascii="Calibri" w:hAnsi="Calibri" w:cs="Calibri" w:eastAsia="Calibri"/>
                <w:b w:val="0"/>
                <w:i w:val="0"/>
                <w:sz w:val="18"/>
                <w:szCs w:val="18"/>
              </w:rPr>
              <w:t>Sign-in success and failure, MFA events, account and group changes, privilege changes</w:t>
            </w:r>
          </w:p>
        </w:tc>
      </w:tr>
      <w:tr>
        <w:tc>
          <w:tcPr>
            <w:tcW w:type="dxa" w:w="2835"/>
          </w:tcPr>
          <w:p>
            <w:r/>
            <w:r>
              <w:rPr>
                <w:rFonts w:ascii="Calibri" w:hAnsi="Calibri" w:cs="Calibri" w:eastAsia="Calibri"/>
                <w:b w:val="0"/>
                <w:i w:val="0"/>
                <w:sz w:val="18"/>
                <w:szCs w:val="18"/>
              </w:rPr>
              <w:t>Servers and endpoints</w:t>
            </w:r>
          </w:p>
        </w:tc>
        <w:tc>
          <w:tcPr>
            <w:tcW w:type="dxa" w:w="6520"/>
          </w:tcPr>
          <w:p>
            <w:r/>
            <w:r>
              <w:rPr>
                <w:rFonts w:ascii="Calibri" w:hAnsi="Calibri" w:cs="Calibri" w:eastAsia="Calibri"/>
                <w:b w:val="0"/>
                <w:i w:val="0"/>
                <w:sz w:val="18"/>
                <w:szCs w:val="18"/>
              </w:rPr>
              <w:t>Logons, process creation, service installation, security tool alerts, log clearing</w:t>
            </w:r>
          </w:p>
        </w:tc>
      </w:tr>
      <w:tr>
        <w:tc>
          <w:tcPr>
            <w:tcW w:type="dxa" w:w="2835"/>
          </w:tcPr>
          <w:p>
            <w:r/>
            <w:r>
              <w:rPr>
                <w:rFonts w:ascii="Calibri" w:hAnsi="Calibri" w:cs="Calibri" w:eastAsia="Calibri"/>
                <w:b w:val="0"/>
                <w:i w:val="0"/>
                <w:sz w:val="18"/>
                <w:szCs w:val="18"/>
              </w:rPr>
              <w:t>Network and security devices</w:t>
            </w:r>
          </w:p>
        </w:tc>
        <w:tc>
          <w:tcPr>
            <w:tcW w:type="dxa" w:w="6520"/>
          </w:tcPr>
          <w:p>
            <w:r/>
            <w:r>
              <w:rPr>
                <w:rFonts w:ascii="Calibri" w:hAnsi="Calibri" w:cs="Calibri" w:eastAsia="Calibri"/>
                <w:b w:val="0"/>
                <w:i w:val="0"/>
                <w:sz w:val="18"/>
                <w:szCs w:val="18"/>
              </w:rPr>
              <w:t>Allowed and denied connections at boundaries, VPN sessions, IPS and web proxy events</w:t>
            </w:r>
          </w:p>
        </w:tc>
      </w:tr>
      <w:tr>
        <w:tc>
          <w:tcPr>
            <w:tcW w:type="dxa" w:w="2835"/>
          </w:tcPr>
          <w:p>
            <w:r/>
            <w:r>
              <w:rPr>
                <w:rFonts w:ascii="Calibri" w:hAnsi="Calibri" w:cs="Calibri" w:eastAsia="Calibri"/>
                <w:b w:val="0"/>
                <w:i w:val="0"/>
                <w:sz w:val="18"/>
                <w:szCs w:val="18"/>
              </w:rPr>
              <w:t>Applications with sensitive data</w:t>
            </w:r>
          </w:p>
        </w:tc>
        <w:tc>
          <w:tcPr>
            <w:tcW w:type="dxa" w:w="6520"/>
          </w:tcPr>
          <w:p>
            <w:r/>
            <w:r>
              <w:rPr>
                <w:rFonts w:ascii="Calibri" w:hAnsi="Calibri" w:cs="Calibri" w:eastAsia="Calibri"/>
                <w:b w:val="0"/>
                <w:i w:val="0"/>
                <w:sz w:val="18"/>
                <w:szCs w:val="18"/>
              </w:rPr>
              <w:t>Access to records, exports, administrative actions, configuration changes</w:t>
            </w:r>
          </w:p>
        </w:tc>
      </w:tr>
      <w:tr>
        <w:tc>
          <w:tcPr>
            <w:tcW w:type="dxa" w:w="2835"/>
          </w:tcPr>
          <w:p>
            <w:r/>
            <w:r>
              <w:rPr>
                <w:rFonts w:ascii="Calibri" w:hAnsi="Calibri" w:cs="Calibri" w:eastAsia="Calibri"/>
                <w:b w:val="0"/>
                <w:i w:val="0"/>
                <w:sz w:val="18"/>
                <w:szCs w:val="18"/>
              </w:rPr>
              <w:t>Cloud services</w:t>
            </w:r>
          </w:p>
        </w:tc>
        <w:tc>
          <w:tcPr>
            <w:tcW w:type="dxa" w:w="6520"/>
          </w:tcPr>
          <w:p>
            <w:r/>
            <w:r>
              <w:rPr>
                <w:rFonts w:ascii="Calibri" w:hAnsi="Calibri" w:cs="Calibri" w:eastAsia="Calibri"/>
                <w:b w:val="0"/>
                <w:i w:val="0"/>
                <w:sz w:val="18"/>
                <w:szCs w:val="18"/>
              </w:rPr>
              <w:t>Administrative activity, sign-ins, sharing, API key use</w:t>
            </w:r>
          </w:p>
        </w:tc>
      </w:tr>
      <w:tr>
        <w:tc>
          <w:tcPr>
            <w:tcW w:type="dxa" w:w="2835"/>
          </w:tcPr>
          <w:p>
            <w:r/>
            <w:r>
              <w:rPr>
                <w:rFonts w:ascii="Calibri" w:hAnsi="Calibri" w:cs="Calibri" w:eastAsia="Calibri"/>
                <w:b w:val="0"/>
                <w:i w:val="0"/>
                <w:sz w:val="18"/>
                <w:szCs w:val="18"/>
              </w:rPr>
              <w:t>Internet access services for users (traffic data)</w:t>
            </w:r>
          </w:p>
        </w:tc>
        <w:tc>
          <w:tcPr>
            <w:tcW w:type="dxa" w:w="6520"/>
          </w:tcPr>
          <w:p>
            <w:r/>
            <w:r>
              <w:rPr>
                <w:rFonts w:ascii="Calibri" w:hAnsi="Calibri" w:cs="Calibri" w:eastAsia="Calibri"/>
                <w:b w:val="0"/>
                <w:i w:val="0"/>
                <w:sz w:val="18"/>
                <w:szCs w:val="18"/>
              </w:rPr>
              <w:t>Source, destination, time, duration, and identity where available (Computer Crime Act s.26)</w:t>
            </w:r>
          </w:p>
        </w:tc>
      </w:tr>
    </w:tbl>
    <w:p>
      <w:pPr>
        <w:spacing w:after="40"/>
      </w:pPr>
    </w:p>
    <w:p>
      <w:pPr>
        <w:pStyle w:val="Heading2"/>
        <w:keepNext/>
        <w:spacing w:before="120" w:after="80"/>
      </w:pPr>
      <w:r>
        <w:rPr>
          <w:rFonts w:ascii="Calibri" w:hAnsi="Calibri" w:cs="Calibri" w:eastAsia="Calibri"/>
          <w:b/>
          <w:i w:val="0"/>
          <w:color w:val="1F3864"/>
          <w:sz w:val="24"/>
          <w:szCs w:val="24"/>
          <w:bCs/>
        </w:rPr>
        <w:t>4.4 Protection, Time, and Retention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log protection, clock synchronization, and retention requirements.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Logs forwarded to the CMC log platform and on to the MSSP.</w:t>
      </w:r>
    </w:p>
    <w:p>
      <w:pPr>
        <w:pStyle w:val="ListBullet"/>
        <w:spacing w:after="40"/>
      </w:pPr>
      <w:r>
        <w:rPr>
          <w:rFonts w:ascii="Calibri" w:hAnsi="Calibri" w:cs="Calibri" w:eastAsia="Calibri"/>
          <w:b w:val="0"/>
          <w:i w:val="0"/>
          <w:sz w:val="21"/>
          <w:szCs w:val="21"/>
        </w:rPr>
        <w:t>Only the Security Manager and MSSP analysts can read the log platform; deletion disabled.</w:t>
      </w:r>
    </w:p>
    <w:p>
      <w:pPr>
        <w:pStyle w:val="ListBullet"/>
        <w:spacing w:after="40"/>
      </w:pPr>
      <w:r>
        <w:rPr>
          <w:rFonts w:ascii="Calibri" w:hAnsi="Calibri" w:cs="Calibri" w:eastAsia="Calibri"/>
          <w:b w:val="0"/>
          <w:i w:val="0"/>
          <w:sz w:val="21"/>
          <w:szCs w:val="21"/>
        </w:rPr>
        <w:t>All systems synchronize to the CMC NTP servers referenced to the national time source.</w:t>
      </w:r>
    </w:p>
    <w:p>
      <w:pPr>
        <w:pStyle w:val="ListBullet"/>
        <w:spacing w:after="40"/>
      </w:pPr>
      <w:r>
        <w:rPr>
          <w:rFonts w:ascii="Calibri" w:hAnsi="Calibri" w:cs="Calibri" w:eastAsia="Calibri"/>
          <w:b w:val="0"/>
          <w:i w:val="0"/>
          <w:sz w:val="21"/>
          <w:szCs w:val="21"/>
        </w:rPr>
        <w:t>Patient and guest Wi-Fi traffic data retained for 90 days as a service provider.</w:t>
      </w:r>
    </w:p>
    <w:p>
      <w:pPr>
        <w:pStyle w:val="ListBullet"/>
        <w:spacing w:after="40"/>
      </w:pPr>
      <w:r>
        <w:rPr>
          <w:rFonts w:ascii="Calibri" w:hAnsi="Calibri" w:cs="Calibri" w:eastAsia="Calibri"/>
          <w:b w:val="0"/>
          <w:i w:val="0"/>
          <w:sz w:val="21"/>
          <w:szCs w:val="21"/>
        </w:rPr>
        <w:t>Security logs kept 1 year online and 2 years in archive.</w:t>
      </w: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Prioritize log sources that help detect ransomware: identity, endpoint detection and response, VPN, and backup systems.</w:t>
      </w:r>
    </w:p>
    <w:p>
      <w:pPr>
        <w:pStyle w:val="ListBullet"/>
        <w:spacing w:after="40"/>
      </w:pPr>
      <w:r>
        <w:rPr>
          <w:rFonts w:ascii="Calibri" w:hAnsi="Calibri" w:cs="Calibri" w:eastAsia="Calibri"/>
          <w:b w:val="0"/>
          <w:i w:val="0"/>
          <w:sz w:val="21"/>
          <w:szCs w:val="21"/>
        </w:rPr>
        <w:t>Confirm with Legal whether guest or patient Wi-Fi makes the organization a service provider under the Computer Crime Act.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Logs kept only on the device, where attackers delete them.</w:t>
      </w:r>
    </w:p>
    <w:p>
      <w:pPr>
        <w:pStyle w:val="ListBullet"/>
        <w:spacing w:after="40"/>
      </w:pPr>
      <w:r>
        <w:rPr>
          <w:rFonts w:ascii="Calibri" w:hAnsi="Calibri" w:cs="Calibri" w:eastAsia="Calibri"/>
          <w:b w:val="0"/>
          <w:i w:val="0"/>
          <w:sz w:val="21"/>
          <w:szCs w:val="21"/>
        </w:rPr>
        <w:t>Clocks out of sync, which makes incident timelines unreliable.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PR.PS-04: Log records are generated and made available for continuous monitoring</w:t>
            </w:r>
          </w:p>
          <w:p>
            <w:r>
              <w:rPr>
                <w:rFonts w:ascii="Calibri" w:hAnsi="Calibri" w:cs="Calibri" w:eastAsia="Calibri"/>
                <w:b w:val="0"/>
                <w:i w:val="0"/>
                <w:sz w:val="18"/>
                <w:szCs w:val="18"/>
              </w:rPr>
              <w:t>DE.CM-01: Networks and network services are monitored to find potentially adverse events</w:t>
            </w:r>
          </w:p>
          <w:p>
            <w:r>
              <w:rPr>
                <w:rFonts w:ascii="Calibri" w:hAnsi="Calibri" w:cs="Calibri" w:eastAsia="Calibri"/>
                <w:b w:val="0"/>
                <w:i w:val="0"/>
                <w:sz w:val="18"/>
                <w:szCs w:val="18"/>
              </w:rPr>
              <w:t>DE.CM-03: Personnel activity and technology usage are monitored to find potentially adverse events</w:t>
            </w:r>
          </w:p>
          <w:p>
            <w:r>
              <w:rPr>
                <w:rFonts w:ascii="Calibri" w:hAnsi="Calibri" w:cs="Calibri" w:eastAsia="Calibri"/>
                <w:b w:val="0"/>
                <w:i w:val="0"/>
                <w:sz w:val="18"/>
                <w:szCs w:val="18"/>
              </w:rPr>
              <w:t>DE.CM-09: Computing hardware and software, runtime environments, and their data are monitored to find potentially adverse events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A.8.15, Annex A.8.17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AU-2, AU-3, AU-8, AU-9, AU-11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Computer Crime Act B.E. 2550 s.26 (service providers retain computer traffic data for at least 90 days; the Act sets the duty, not the document); ISO/IEC 27001:2022 Annex A 8.15 and 8.17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PR-STD-011  |  Logging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