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Endpoint Protection Standard</w:t>
      </w:r>
    </w:p>
    <w:p>
      <w:pPr>
        <w:spacing w:after="80" w:before="0"/>
      </w:pPr>
      <w:r>
        <w:rPr>
          <w:rFonts w:ascii="Calibri" w:hAnsi="Calibri" w:cs="Calibri" w:eastAsia="Calibri"/>
          <w:b w:val="0"/>
          <w:i w:val="0"/>
          <w:color w:val="595959"/>
          <w:sz w:val="18"/>
          <w:szCs w:val="18"/>
        </w:rPr>
        <w:t>PR-STD-012  |  Standard  |  Platform Security (PR.PS)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PR-STD-012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Endpoint Protection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16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16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Platform Security (PR.PS)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8.1, 8.7, and 8.19</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13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16 August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requirements for protecting endpoints and servers against malware and unauthorized software (PR.PS-05, DE.CM-09).</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measurable endpoint protection requirements.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907"/>
        <w:gridCol w:w="8448"/>
      </w:tblGrid>
      <w:tr>
        <w:trPr>
          <w:tblHeader w:val="true"/>
        </w:trPr>
        <w:tc>
          <w:tcPr>
            <w:tcW w:type="dxa" w:w="907"/>
            <w:shd w:val="clear" w:color="auto" w:fill="1F3864"/>
          </w:tcPr>
          <w:p>
            <w:r/>
            <w:r>
              <w:rPr>
                <w:rFonts w:ascii="Calibri" w:hAnsi="Calibri" w:cs="Calibri" w:eastAsia="Calibri"/>
                <w:b/>
                <w:i w:val="0"/>
                <w:color w:val="FFFFFF"/>
                <w:sz w:val="18"/>
                <w:szCs w:val="18"/>
                <w:bCs/>
              </w:rPr>
              <w:t>ID</w:t>
            </w:r>
          </w:p>
        </w:tc>
        <w:tc>
          <w:tcPr>
            <w:tcW w:type="dxa" w:w="8447"/>
            <w:shd w:val="clear" w:color="auto" w:fill="1F3864"/>
          </w:tcPr>
          <w:p>
            <w:r/>
            <w:r>
              <w:rPr>
                <w:rFonts w:ascii="Calibri" w:hAnsi="Calibri" w:cs="Calibri" w:eastAsia="Calibri"/>
                <w:b/>
                <w:i w:val="0"/>
                <w:color w:val="FFFFFF"/>
                <w:sz w:val="18"/>
                <w:szCs w:val="18"/>
                <w:bCs/>
              </w:rPr>
              <w:t>Requirement</w:t>
            </w:r>
          </w:p>
        </w:tc>
      </w:tr>
      <w:tr>
        <w:tc>
          <w:tcPr>
            <w:tcW w:type="dxa" w:w="907"/>
          </w:tcPr>
          <w:p>
            <w:r/>
            <w:r>
              <w:rPr>
                <w:rFonts w:ascii="Calibri" w:hAnsi="Calibri" w:cs="Calibri" w:eastAsia="Calibri"/>
                <w:b w:val="0"/>
                <w:i w:val="0"/>
                <w:sz w:val="18"/>
                <w:szCs w:val="18"/>
              </w:rPr>
              <w:t>EP-01</w:t>
            </w:r>
          </w:p>
        </w:tc>
        <w:tc>
          <w:tcPr>
            <w:tcW w:type="dxa" w:w="8447"/>
          </w:tcPr>
          <w:p>
            <w:r/>
            <w:r>
              <w:rPr>
                <w:rFonts w:ascii="Calibri" w:hAnsi="Calibri" w:cs="Calibri" w:eastAsia="Calibri"/>
                <w:b w:val="0"/>
                <w:i w:val="0"/>
                <w:sz w:val="18"/>
                <w:szCs w:val="18"/>
              </w:rPr>
              <w:t>Endpoint detection and response (EDR) installed on all supported workstations and servers; coverage target 98%.</w:t>
            </w:r>
          </w:p>
        </w:tc>
      </w:tr>
      <w:tr>
        <w:tc>
          <w:tcPr>
            <w:tcW w:type="dxa" w:w="907"/>
          </w:tcPr>
          <w:p>
            <w:r/>
            <w:r>
              <w:rPr>
                <w:rFonts w:ascii="Calibri" w:hAnsi="Calibri" w:cs="Calibri" w:eastAsia="Calibri"/>
                <w:b w:val="0"/>
                <w:i w:val="0"/>
                <w:sz w:val="18"/>
                <w:szCs w:val="18"/>
              </w:rPr>
              <w:t>EP-02</w:t>
            </w:r>
          </w:p>
        </w:tc>
        <w:tc>
          <w:tcPr>
            <w:tcW w:type="dxa" w:w="8447"/>
          </w:tcPr>
          <w:p>
            <w:r/>
            <w:r>
              <w:rPr>
                <w:rFonts w:ascii="Calibri" w:hAnsi="Calibri" w:cs="Calibri" w:eastAsia="Calibri"/>
                <w:b w:val="0"/>
                <w:i w:val="0"/>
                <w:sz w:val="18"/>
                <w:szCs w:val="18"/>
              </w:rPr>
              <w:t>EDR tamper protection enabled; alerts sent to the SOC Lead (MSSP service manager with Security Manager oversight).</w:t>
            </w:r>
          </w:p>
        </w:tc>
      </w:tr>
      <w:tr>
        <w:tc>
          <w:tcPr>
            <w:tcW w:type="dxa" w:w="907"/>
          </w:tcPr>
          <w:p>
            <w:r/>
            <w:r>
              <w:rPr>
                <w:rFonts w:ascii="Calibri" w:hAnsi="Calibri" w:cs="Calibri" w:eastAsia="Calibri"/>
                <w:b w:val="0"/>
                <w:i w:val="0"/>
                <w:sz w:val="18"/>
                <w:szCs w:val="18"/>
              </w:rPr>
              <w:t>EP-03</w:t>
            </w:r>
          </w:p>
        </w:tc>
        <w:tc>
          <w:tcPr>
            <w:tcW w:type="dxa" w:w="8447"/>
          </w:tcPr>
          <w:p>
            <w:r/>
            <w:r>
              <w:rPr>
                <w:rFonts w:ascii="Calibri" w:hAnsi="Calibri" w:cs="Calibri" w:eastAsia="Calibri"/>
                <w:b w:val="0"/>
                <w:i w:val="0"/>
                <w:sz w:val="18"/>
                <w:szCs w:val="18"/>
              </w:rPr>
              <w:t>Standard users have no local administrator rights.</w:t>
            </w:r>
          </w:p>
        </w:tc>
      </w:tr>
      <w:tr>
        <w:tc>
          <w:tcPr>
            <w:tcW w:type="dxa" w:w="907"/>
          </w:tcPr>
          <w:p>
            <w:r/>
            <w:r>
              <w:rPr>
                <w:rFonts w:ascii="Calibri" w:hAnsi="Calibri" w:cs="Calibri" w:eastAsia="Calibri"/>
                <w:b w:val="0"/>
                <w:i w:val="0"/>
                <w:sz w:val="18"/>
                <w:szCs w:val="18"/>
              </w:rPr>
              <w:t>EP-04</w:t>
            </w:r>
          </w:p>
        </w:tc>
        <w:tc>
          <w:tcPr>
            <w:tcW w:type="dxa" w:w="8447"/>
          </w:tcPr>
          <w:p>
            <w:r/>
            <w:r>
              <w:rPr>
                <w:rFonts w:ascii="Calibri" w:hAnsi="Calibri" w:cs="Calibri" w:eastAsia="Calibri"/>
                <w:b w:val="0"/>
                <w:i w:val="0"/>
                <w:sz w:val="18"/>
                <w:szCs w:val="18"/>
              </w:rPr>
              <w:t>Only software in the Approved Software Register (PR-REG-003) may be installed; application allowlisting on servers and fixed-function devices.</w:t>
            </w:r>
          </w:p>
        </w:tc>
      </w:tr>
      <w:tr>
        <w:tc>
          <w:tcPr>
            <w:tcW w:type="dxa" w:w="907"/>
          </w:tcPr>
          <w:p>
            <w:r/>
            <w:r>
              <w:rPr>
                <w:rFonts w:ascii="Calibri" w:hAnsi="Calibri" w:cs="Calibri" w:eastAsia="Calibri"/>
                <w:b w:val="0"/>
                <w:i w:val="0"/>
                <w:sz w:val="18"/>
                <w:szCs w:val="18"/>
              </w:rPr>
              <w:t>EP-05</w:t>
            </w:r>
          </w:p>
        </w:tc>
        <w:tc>
          <w:tcPr>
            <w:tcW w:type="dxa" w:w="8447"/>
          </w:tcPr>
          <w:p>
            <w:r/>
            <w:r>
              <w:rPr>
                <w:rFonts w:ascii="Calibri" w:hAnsi="Calibri" w:cs="Calibri" w:eastAsia="Calibri"/>
                <w:b w:val="0"/>
                <w:i w:val="0"/>
                <w:sz w:val="18"/>
                <w:szCs w:val="18"/>
              </w:rPr>
              <w:t>Macros from the internet blocked; script execution restricted.</w:t>
            </w:r>
          </w:p>
        </w:tc>
      </w:tr>
      <w:tr>
        <w:tc>
          <w:tcPr>
            <w:tcW w:type="dxa" w:w="907"/>
          </w:tcPr>
          <w:p>
            <w:r/>
            <w:r>
              <w:rPr>
                <w:rFonts w:ascii="Calibri" w:hAnsi="Calibri" w:cs="Calibri" w:eastAsia="Calibri"/>
                <w:b w:val="0"/>
                <w:i w:val="0"/>
                <w:sz w:val="18"/>
                <w:szCs w:val="18"/>
              </w:rPr>
              <w:t>EP-06</w:t>
            </w:r>
          </w:p>
        </w:tc>
        <w:tc>
          <w:tcPr>
            <w:tcW w:type="dxa" w:w="8447"/>
          </w:tcPr>
          <w:p>
            <w:r/>
            <w:r>
              <w:rPr>
                <w:rFonts w:ascii="Calibri" w:hAnsi="Calibri" w:cs="Calibri" w:eastAsia="Calibri"/>
                <w:b w:val="0"/>
                <w:i w:val="0"/>
                <w:sz w:val="18"/>
                <w:szCs w:val="18"/>
              </w:rPr>
              <w:t>Removable media controlled according to PR-STD-004.</w:t>
            </w:r>
          </w:p>
        </w:tc>
      </w:tr>
      <w:tr>
        <w:tc>
          <w:tcPr>
            <w:tcW w:type="dxa" w:w="907"/>
          </w:tcPr>
          <w:p>
            <w:r/>
            <w:r>
              <w:rPr>
                <w:rFonts w:ascii="Calibri" w:hAnsi="Calibri" w:cs="Calibri" w:eastAsia="Calibri"/>
                <w:b w:val="0"/>
                <w:i w:val="0"/>
                <w:sz w:val="18"/>
                <w:szCs w:val="18"/>
              </w:rPr>
              <w:t>EP-07</w:t>
            </w:r>
          </w:p>
        </w:tc>
        <w:tc>
          <w:tcPr>
            <w:tcW w:type="dxa" w:w="8447"/>
          </w:tcPr>
          <w:p>
            <w:r/>
            <w:r>
              <w:rPr>
                <w:rFonts w:ascii="Calibri" w:hAnsi="Calibri" w:cs="Calibri" w:eastAsia="Calibri"/>
                <w:b w:val="0"/>
                <w:i w:val="0"/>
                <w:sz w:val="18"/>
                <w:szCs w:val="18"/>
              </w:rPr>
              <w:t>Full disk encryption on laptops.</w:t>
            </w:r>
          </w:p>
        </w:tc>
      </w:tr>
      <w:tr>
        <w:tc>
          <w:tcPr>
            <w:tcW w:type="dxa" w:w="907"/>
          </w:tcPr>
          <w:p>
            <w:r/>
            <w:r>
              <w:rPr>
                <w:rFonts w:ascii="Calibri" w:hAnsi="Calibri" w:cs="Calibri" w:eastAsia="Calibri"/>
                <w:b w:val="0"/>
                <w:i w:val="0"/>
                <w:sz w:val="18"/>
                <w:szCs w:val="18"/>
              </w:rPr>
              <w:t>EP-08</w:t>
            </w:r>
          </w:p>
        </w:tc>
        <w:tc>
          <w:tcPr>
            <w:tcW w:type="dxa" w:w="8447"/>
          </w:tcPr>
          <w:p>
            <w:r/>
            <w:r>
              <w:rPr>
                <w:rFonts w:ascii="Calibri" w:hAnsi="Calibri" w:cs="Calibri" w:eastAsia="Calibri"/>
                <w:b w:val="0"/>
                <w:i w:val="0"/>
                <w:sz w:val="18"/>
                <w:szCs w:val="18"/>
              </w:rPr>
              <w:t>Devices that cannot run EDR are isolated and covered by network monitoring under an approved exception.</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Measure EDR coverage against the asset inventory weekly; gaps are where attackers hide.</w:t>
      </w:r>
    </w:p>
    <w:p>
      <w:pPr>
        <w:pStyle w:val="ListBullet"/>
        <w:spacing w:after="40"/>
      </w:pPr>
      <w:r>
        <w:rPr>
          <w:rFonts w:ascii="Calibri" w:hAnsi="Calibri" w:cs="Calibri" w:eastAsia="Calibri"/>
          <w:b w:val="0"/>
          <w:i w:val="0"/>
          <w:sz w:val="21"/>
          <w:szCs w:val="21"/>
        </w:rPr>
        <w:t>Remove local admin rights in phases with a self-service elevation option.</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Antivirus installed but never monitored, so alerts go unseen.</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PR.PS-05: Installation and execution of unauthorized software are prevented</w:t>
            </w:r>
          </w:p>
          <w:p>
            <w:r>
              <w:rPr>
                <w:rFonts w:ascii="Calibri" w:hAnsi="Calibri" w:cs="Calibri" w:eastAsia="Calibri"/>
                <w:b w:val="0"/>
                <w:i w:val="0"/>
                <w:sz w:val="18"/>
                <w:szCs w:val="18"/>
              </w:rPr>
              <w:t>DE.CM-09: Computing hardware and software, runtime environments, and their data are monitored to find potentially adverse events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A.8.1, Annex A.8.7, Annex A.8.19</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SI-3, CM-7, CM-11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8.1, 8.7, and 8.19</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PR-REG-003: Approved Software Register</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PR-STD-012  |  Endpoint Protection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