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Secure Software Development Standard</w:t>
      </w:r>
    </w:p>
    <w:p>
      <w:pPr>
        <w:spacing w:after="80" w:before="0"/>
      </w:pPr>
      <w:r>
        <w:rPr>
          <w:rFonts w:ascii="Calibri" w:hAnsi="Calibri" w:cs="Calibri" w:eastAsia="Calibri"/>
          <w:b w:val="0"/>
          <w:i w:val="0"/>
          <w:color w:val="595959"/>
          <w:sz w:val="18"/>
          <w:szCs w:val="18"/>
        </w:rPr>
        <w:t>PR-STD-013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Secure Software Development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Application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11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11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8.25 to 8.31; NIST SP 800-218 (SSDF)</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27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Application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11 July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Application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secure software development requirements for in-house and outsourced development across the life cycle (PR.PS-06; NIST SP 800-218 Secure Software Development Framework).</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 by Phase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requirements for each development phase.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7654"/>
      </w:tblGrid>
      <w:tr>
        <w:trPr>
          <w:tblHeader w:val="true"/>
        </w:trPr>
        <w:tc>
          <w:tcPr>
            <w:tcW w:type="dxa" w:w="1701"/>
            <w:shd w:val="clear" w:color="auto" w:fill="1F3864"/>
          </w:tcPr>
          <w:p>
            <w:r/>
            <w:r>
              <w:rPr>
                <w:rFonts w:ascii="Calibri" w:hAnsi="Calibri" w:cs="Calibri" w:eastAsia="Calibri"/>
                <w:b/>
                <w:i w:val="0"/>
                <w:color w:val="FFFFFF"/>
                <w:sz w:val="18"/>
                <w:szCs w:val="18"/>
                <w:bCs/>
              </w:rPr>
              <w:t>Phase</w:t>
            </w:r>
          </w:p>
        </w:tc>
        <w:tc>
          <w:tcPr>
            <w:tcW w:type="dxa" w:w="7654"/>
            <w:shd w:val="clear" w:color="auto" w:fill="1F3864"/>
          </w:tcPr>
          <w:p>
            <w:r/>
            <w:r>
              <w:rPr>
                <w:rFonts w:ascii="Calibri" w:hAnsi="Calibri" w:cs="Calibri" w:eastAsia="Calibri"/>
                <w:b/>
                <w:i w:val="0"/>
                <w:color w:val="FFFFFF"/>
                <w:sz w:val="18"/>
                <w:szCs w:val="18"/>
                <w:bCs/>
              </w:rPr>
              <w:t>Requirement</w:t>
            </w:r>
          </w:p>
        </w:tc>
      </w:tr>
      <w:tr>
        <w:tc>
          <w:tcPr>
            <w:tcW w:type="dxa" w:w="1701"/>
          </w:tcPr>
          <w:p>
            <w:r/>
            <w:r>
              <w:rPr>
                <w:rFonts w:ascii="Calibri" w:hAnsi="Calibri" w:cs="Calibri" w:eastAsia="Calibri"/>
                <w:b w:val="0"/>
                <w:i w:val="0"/>
                <w:sz w:val="18"/>
                <w:szCs w:val="18"/>
              </w:rPr>
              <w:t>Requirements</w:t>
            </w:r>
          </w:p>
        </w:tc>
        <w:tc>
          <w:tcPr>
            <w:tcW w:type="dxa" w:w="7654"/>
          </w:tcPr>
          <w:p>
            <w:r/>
            <w:r>
              <w:rPr>
                <w:rFonts w:ascii="Calibri" w:hAnsi="Calibri" w:cs="Calibri" w:eastAsia="Calibri"/>
                <w:b w:val="0"/>
                <w:i w:val="0"/>
                <w:sz w:val="18"/>
                <w:szCs w:val="18"/>
              </w:rPr>
              <w:t>Define security and privacy requirements, including authentication, logging, and data protection.</w:t>
            </w:r>
          </w:p>
        </w:tc>
      </w:tr>
      <w:tr>
        <w:tc>
          <w:tcPr>
            <w:tcW w:type="dxa" w:w="1701"/>
          </w:tcPr>
          <w:p>
            <w:r/>
            <w:r>
              <w:rPr>
                <w:rFonts w:ascii="Calibri" w:hAnsi="Calibri" w:cs="Calibri" w:eastAsia="Calibri"/>
                <w:b w:val="0"/>
                <w:i w:val="0"/>
                <w:sz w:val="18"/>
                <w:szCs w:val="18"/>
              </w:rPr>
              <w:t>Design</w:t>
            </w:r>
          </w:p>
        </w:tc>
        <w:tc>
          <w:tcPr>
            <w:tcW w:type="dxa" w:w="7654"/>
          </w:tcPr>
          <w:p>
            <w:r/>
            <w:r>
              <w:rPr>
                <w:rFonts w:ascii="Calibri" w:hAnsi="Calibri" w:cs="Calibri" w:eastAsia="Calibri"/>
                <w:b w:val="0"/>
                <w:i w:val="0"/>
                <w:sz w:val="18"/>
                <w:szCs w:val="18"/>
              </w:rPr>
              <w:t>Perform threat modeling for systems handling Confidential or Restricted data.</w:t>
            </w:r>
          </w:p>
        </w:tc>
      </w:tr>
      <w:tr>
        <w:tc>
          <w:tcPr>
            <w:tcW w:type="dxa" w:w="1701"/>
          </w:tcPr>
          <w:p>
            <w:r/>
            <w:r>
              <w:rPr>
                <w:rFonts w:ascii="Calibri" w:hAnsi="Calibri" w:cs="Calibri" w:eastAsia="Calibri"/>
                <w:b w:val="0"/>
                <w:i w:val="0"/>
                <w:sz w:val="18"/>
                <w:szCs w:val="18"/>
              </w:rPr>
              <w:t>Build</w:t>
            </w:r>
          </w:p>
        </w:tc>
        <w:tc>
          <w:tcPr>
            <w:tcW w:type="dxa" w:w="7654"/>
          </w:tcPr>
          <w:p>
            <w:r/>
            <w:r>
              <w:rPr>
                <w:rFonts w:ascii="Calibri" w:hAnsi="Calibri" w:cs="Calibri" w:eastAsia="Calibri"/>
                <w:b w:val="0"/>
                <w:i w:val="0"/>
                <w:sz w:val="18"/>
                <w:szCs w:val="18"/>
              </w:rPr>
              <w:t>Follow secure coding guidelines (OWASP); no secrets in source code; use approved libraries.</w:t>
            </w:r>
          </w:p>
        </w:tc>
      </w:tr>
      <w:tr>
        <w:tc>
          <w:tcPr>
            <w:tcW w:type="dxa" w:w="1701"/>
          </w:tcPr>
          <w:p>
            <w:r/>
            <w:r>
              <w:rPr>
                <w:rFonts w:ascii="Calibri" w:hAnsi="Calibri" w:cs="Calibri" w:eastAsia="Calibri"/>
                <w:b w:val="0"/>
                <w:i w:val="0"/>
                <w:sz w:val="18"/>
                <w:szCs w:val="18"/>
              </w:rPr>
              <w:t>Verify</w:t>
            </w:r>
          </w:p>
        </w:tc>
        <w:tc>
          <w:tcPr>
            <w:tcW w:type="dxa" w:w="7654"/>
          </w:tcPr>
          <w:p>
            <w:r/>
            <w:r>
              <w:rPr>
                <w:rFonts w:ascii="Calibri" w:hAnsi="Calibri" w:cs="Calibri" w:eastAsia="Calibri"/>
                <w:b w:val="0"/>
                <w:i w:val="0"/>
                <w:sz w:val="18"/>
                <w:szCs w:val="18"/>
              </w:rPr>
              <w:t>Static analysis (SAST) and software composition analysis (SCA) in the pipeline; dynamic testing (DAST) before release; penetration test for critical apps.</w:t>
            </w:r>
          </w:p>
        </w:tc>
      </w:tr>
      <w:tr>
        <w:tc>
          <w:tcPr>
            <w:tcW w:type="dxa" w:w="1701"/>
          </w:tcPr>
          <w:p>
            <w:r/>
            <w:r>
              <w:rPr>
                <w:rFonts w:ascii="Calibri" w:hAnsi="Calibri" w:cs="Calibri" w:eastAsia="Calibri"/>
                <w:b w:val="0"/>
                <w:i w:val="0"/>
                <w:sz w:val="18"/>
                <w:szCs w:val="18"/>
              </w:rPr>
              <w:t>Release</w:t>
            </w:r>
          </w:p>
        </w:tc>
        <w:tc>
          <w:tcPr>
            <w:tcW w:type="dxa" w:w="7654"/>
          </w:tcPr>
          <w:p>
            <w:r/>
            <w:r>
              <w:rPr>
                <w:rFonts w:ascii="Calibri" w:hAnsi="Calibri" w:cs="Calibri" w:eastAsia="Calibri"/>
                <w:b w:val="0"/>
                <w:i w:val="0"/>
                <w:sz w:val="18"/>
                <w:szCs w:val="18"/>
              </w:rPr>
              <w:t>Separate development, test, and production; production data not used in test unless masked (Annex A 8.31, 8.33).</w:t>
            </w:r>
          </w:p>
        </w:tc>
      </w:tr>
      <w:tr>
        <w:tc>
          <w:tcPr>
            <w:tcW w:type="dxa" w:w="1701"/>
          </w:tcPr>
          <w:p>
            <w:r/>
            <w:r>
              <w:rPr>
                <w:rFonts w:ascii="Calibri" w:hAnsi="Calibri" w:cs="Calibri" w:eastAsia="Calibri"/>
                <w:b w:val="0"/>
                <w:i w:val="0"/>
                <w:sz w:val="18"/>
                <w:szCs w:val="18"/>
              </w:rPr>
              <w:t>Maintain</w:t>
            </w:r>
          </w:p>
        </w:tc>
        <w:tc>
          <w:tcPr>
            <w:tcW w:type="dxa" w:w="7654"/>
          </w:tcPr>
          <w:p>
            <w:r/>
            <w:r>
              <w:rPr>
                <w:rFonts w:ascii="Calibri" w:hAnsi="Calibri" w:cs="Calibri" w:eastAsia="Calibri"/>
                <w:b w:val="0"/>
                <w:i w:val="0"/>
                <w:sz w:val="18"/>
                <w:szCs w:val="18"/>
              </w:rPr>
              <w:t>Fix vulnerabilities per ID-STD-002; monitor third-party components.</w:t>
            </w:r>
          </w:p>
        </w:tc>
      </w:tr>
      <w:tr>
        <w:tc>
          <w:tcPr>
            <w:tcW w:type="dxa" w:w="1701"/>
          </w:tcPr>
          <w:p>
            <w:r/>
            <w:r>
              <w:rPr>
                <w:rFonts w:ascii="Calibri" w:hAnsi="Calibri" w:cs="Calibri" w:eastAsia="Calibri"/>
                <w:b w:val="0"/>
                <w:i w:val="0"/>
                <w:sz w:val="18"/>
                <w:szCs w:val="18"/>
              </w:rPr>
              <w:t>Outsourced</w:t>
            </w:r>
          </w:p>
        </w:tc>
        <w:tc>
          <w:tcPr>
            <w:tcW w:type="dxa" w:w="7654"/>
          </w:tcPr>
          <w:p>
            <w:r/>
            <w:r>
              <w:rPr>
                <w:rFonts w:ascii="Calibri" w:hAnsi="Calibri" w:cs="Calibri" w:eastAsia="Calibri"/>
                <w:b w:val="0"/>
                <w:i w:val="0"/>
                <w:sz w:val="18"/>
                <w:szCs w:val="18"/>
              </w:rPr>
              <w:t>Contracts require the same practices, code escrow or access, and vulnerability fix timelines (Annex A 8.30).</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Automate security tests in the CI/CD pipeline so they run on every change.</w:t>
      </w:r>
    </w:p>
    <w:p>
      <w:pPr>
        <w:pStyle w:val="ListBullet"/>
        <w:spacing w:after="40"/>
      </w:pPr>
      <w:r>
        <w:rPr>
          <w:rFonts w:ascii="Calibri" w:hAnsi="Calibri" w:cs="Calibri" w:eastAsia="Calibri"/>
          <w:b w:val="0"/>
          <w:i w:val="0"/>
          <w:sz w:val="21"/>
          <w:szCs w:val="21"/>
        </w:rPr>
        <w:t>Train developers on the vulnerabilities actually found in your code.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Copying production patient or customer data into test environments without masking.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PR.PS-06: Secure software development practices are integrated and their performance is monitored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A.8.25, Annex A.8.26, Annex A.8.28, Annex A.8.29, Annex A.8.31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SA-3, SA-8, SA-11, SA-15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8.25 to 8.31; NIST SP 800-218 (SSDF)</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PR-STD-013  |  Secure Software Development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