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Cloud Security Standard</w:t>
      </w:r>
    </w:p>
    <w:p>
      <w:pPr>
        <w:spacing w:after="80" w:before="0"/>
      </w:pPr>
      <w:r>
        <w:rPr>
          <w:rFonts w:ascii="Calibri" w:hAnsi="Calibri" w:cs="Calibri" w:eastAsia="Calibri"/>
          <w:b w:val="0"/>
          <w:i w:val="0"/>
          <w:color w:val="595959"/>
          <w:sz w:val="18"/>
          <w:szCs w:val="18"/>
        </w:rPr>
        <w:t>PR-STD-014  |  Standard  |  Platform Security (PR.PS)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PR-STD-014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Cloud Security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22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22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Platform Security (PR.PS)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5.23; ISO/IEC 27017; CRC Notification on cloud security for CII [VERIFY]</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Technology, Cloud</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7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22 March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security requirements for selecting, configuring, and operating cloud services (IaaS, PaaS, SaaS), based on the shared responsibility model (ISO/IEC 27001:2022 Annex A 5.23).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cloud security requirements.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907"/>
        <w:gridCol w:w="8448"/>
      </w:tblGrid>
      <w:tr>
        <w:trPr>
          <w:tblHeader w:val="true"/>
        </w:trPr>
        <w:tc>
          <w:tcPr>
            <w:tcW w:type="dxa" w:w="907"/>
            <w:shd w:val="clear" w:color="auto" w:fill="1F3864"/>
          </w:tcPr>
          <w:p>
            <w:r/>
            <w:r>
              <w:rPr>
                <w:rFonts w:ascii="Calibri" w:hAnsi="Calibri" w:cs="Calibri" w:eastAsia="Calibri"/>
                <w:b/>
                <w:i w:val="0"/>
                <w:color w:val="FFFFFF"/>
                <w:sz w:val="18"/>
                <w:szCs w:val="18"/>
                <w:bCs/>
              </w:rPr>
              <w:t>ID</w:t>
            </w:r>
          </w:p>
        </w:tc>
        <w:tc>
          <w:tcPr>
            <w:tcW w:type="dxa" w:w="8447"/>
            <w:shd w:val="clear" w:color="auto" w:fill="1F3864"/>
          </w:tcPr>
          <w:p>
            <w:r/>
            <w:r>
              <w:rPr>
                <w:rFonts w:ascii="Calibri" w:hAnsi="Calibri" w:cs="Calibri" w:eastAsia="Calibri"/>
                <w:b/>
                <w:i w:val="0"/>
                <w:color w:val="FFFFFF"/>
                <w:sz w:val="18"/>
                <w:szCs w:val="18"/>
                <w:bCs/>
              </w:rPr>
              <w:t>Requirement</w:t>
            </w:r>
          </w:p>
        </w:tc>
      </w:tr>
      <w:tr>
        <w:tc>
          <w:tcPr>
            <w:tcW w:type="dxa" w:w="907"/>
          </w:tcPr>
          <w:p>
            <w:r/>
            <w:r>
              <w:rPr>
                <w:rFonts w:ascii="Calibri" w:hAnsi="Calibri" w:cs="Calibri" w:eastAsia="Calibri"/>
                <w:b w:val="0"/>
                <w:i w:val="0"/>
                <w:sz w:val="18"/>
                <w:szCs w:val="18"/>
              </w:rPr>
              <w:t>CL-01</w:t>
            </w:r>
          </w:p>
        </w:tc>
        <w:tc>
          <w:tcPr>
            <w:tcW w:type="dxa" w:w="8447"/>
          </w:tcPr>
          <w:p>
            <w:r/>
            <w:r>
              <w:rPr>
                <w:rFonts w:ascii="Calibri" w:hAnsi="Calibri" w:cs="Calibri" w:eastAsia="Calibri"/>
                <w:b w:val="0"/>
                <w:i w:val="0"/>
                <w:sz w:val="18"/>
                <w:szCs w:val="18"/>
              </w:rPr>
              <w:t>Every cloud service is approved through supplier assessment (GV-PRC-008) and recorded in ID-REG-002.</w:t>
            </w:r>
          </w:p>
        </w:tc>
      </w:tr>
      <w:tr>
        <w:tc>
          <w:tcPr>
            <w:tcW w:type="dxa" w:w="907"/>
          </w:tcPr>
          <w:p>
            <w:r/>
            <w:r>
              <w:rPr>
                <w:rFonts w:ascii="Calibri" w:hAnsi="Calibri" w:cs="Calibri" w:eastAsia="Calibri"/>
                <w:b w:val="0"/>
                <w:i w:val="0"/>
                <w:sz w:val="18"/>
                <w:szCs w:val="18"/>
              </w:rPr>
              <w:t>CL-02</w:t>
            </w:r>
          </w:p>
        </w:tc>
        <w:tc>
          <w:tcPr>
            <w:tcW w:type="dxa" w:w="8447"/>
          </w:tcPr>
          <w:p>
            <w:r/>
            <w:r>
              <w:rPr>
                <w:rFonts w:ascii="Calibri" w:hAnsi="Calibri" w:cs="Calibri" w:eastAsia="Calibri"/>
                <w:b w:val="0"/>
                <w:i w:val="0"/>
                <w:sz w:val="18"/>
                <w:szCs w:val="18"/>
              </w:rPr>
              <w:t>Document the shared responsibility split for each service.</w:t>
            </w:r>
          </w:p>
        </w:tc>
      </w:tr>
      <w:tr>
        <w:tc>
          <w:tcPr>
            <w:tcW w:type="dxa" w:w="907"/>
          </w:tcPr>
          <w:p>
            <w:r/>
            <w:r>
              <w:rPr>
                <w:rFonts w:ascii="Calibri" w:hAnsi="Calibri" w:cs="Calibri" w:eastAsia="Calibri"/>
                <w:b w:val="0"/>
                <w:i w:val="0"/>
                <w:sz w:val="18"/>
                <w:szCs w:val="18"/>
              </w:rPr>
              <w:t>CL-03</w:t>
            </w:r>
          </w:p>
        </w:tc>
        <w:tc>
          <w:tcPr>
            <w:tcW w:type="dxa" w:w="8447"/>
          </w:tcPr>
          <w:p>
            <w:r/>
            <w:r>
              <w:rPr>
                <w:rFonts w:ascii="Calibri" w:hAnsi="Calibri" w:cs="Calibri" w:eastAsia="Calibri"/>
                <w:b w:val="0"/>
                <w:i w:val="0"/>
                <w:sz w:val="18"/>
                <w:szCs w:val="18"/>
              </w:rPr>
              <w:t>Cloud administrators use SSO with phishing-resistant MFA; no root or global admin use for daily work.</w:t>
            </w:r>
          </w:p>
        </w:tc>
      </w:tr>
      <w:tr>
        <w:tc>
          <w:tcPr>
            <w:tcW w:type="dxa" w:w="907"/>
          </w:tcPr>
          <w:p>
            <w:r/>
            <w:r>
              <w:rPr>
                <w:rFonts w:ascii="Calibri" w:hAnsi="Calibri" w:cs="Calibri" w:eastAsia="Calibri"/>
                <w:b w:val="0"/>
                <w:i w:val="0"/>
                <w:sz w:val="18"/>
                <w:szCs w:val="18"/>
              </w:rPr>
              <w:t>CL-04</w:t>
            </w:r>
          </w:p>
        </w:tc>
        <w:tc>
          <w:tcPr>
            <w:tcW w:type="dxa" w:w="8447"/>
          </w:tcPr>
          <w:p>
            <w:r/>
            <w:r>
              <w:rPr>
                <w:rFonts w:ascii="Calibri" w:hAnsi="Calibri" w:cs="Calibri" w:eastAsia="Calibri"/>
                <w:b w:val="0"/>
                <w:i w:val="0"/>
                <w:sz w:val="18"/>
                <w:szCs w:val="18"/>
              </w:rPr>
              <w:t>Data location and cross-border transfer comply with the PDPA (s.28 and s.29) and contracts.</w:t>
            </w:r>
          </w:p>
        </w:tc>
      </w:tr>
      <w:tr>
        <w:tc>
          <w:tcPr>
            <w:tcW w:type="dxa" w:w="907"/>
          </w:tcPr>
          <w:p>
            <w:r/>
            <w:r>
              <w:rPr>
                <w:rFonts w:ascii="Calibri" w:hAnsi="Calibri" w:cs="Calibri" w:eastAsia="Calibri"/>
                <w:b w:val="0"/>
                <w:i w:val="0"/>
                <w:sz w:val="18"/>
                <w:szCs w:val="18"/>
              </w:rPr>
              <w:t>CL-05</w:t>
            </w:r>
          </w:p>
        </w:tc>
        <w:tc>
          <w:tcPr>
            <w:tcW w:type="dxa" w:w="8447"/>
          </w:tcPr>
          <w:p>
            <w:r/>
            <w:r>
              <w:rPr>
                <w:rFonts w:ascii="Calibri" w:hAnsi="Calibri" w:cs="Calibri" w:eastAsia="Calibri"/>
                <w:b w:val="0"/>
                <w:i w:val="0"/>
                <w:sz w:val="18"/>
                <w:szCs w:val="18"/>
              </w:rPr>
              <w:t>Encrypt data at rest and in transit; manage keys per PR-STD-005.</w:t>
            </w:r>
          </w:p>
        </w:tc>
      </w:tr>
      <w:tr>
        <w:tc>
          <w:tcPr>
            <w:tcW w:type="dxa" w:w="907"/>
          </w:tcPr>
          <w:p>
            <w:r/>
            <w:r>
              <w:rPr>
                <w:rFonts w:ascii="Calibri" w:hAnsi="Calibri" w:cs="Calibri" w:eastAsia="Calibri"/>
                <w:b w:val="0"/>
                <w:i w:val="0"/>
                <w:sz w:val="18"/>
                <w:szCs w:val="18"/>
              </w:rPr>
              <w:t>CL-06</w:t>
            </w:r>
          </w:p>
        </w:tc>
        <w:tc>
          <w:tcPr>
            <w:tcW w:type="dxa" w:w="8447"/>
          </w:tcPr>
          <w:p>
            <w:r/>
            <w:r>
              <w:rPr>
                <w:rFonts w:ascii="Calibri" w:hAnsi="Calibri" w:cs="Calibri" w:eastAsia="Calibri"/>
                <w:b w:val="0"/>
                <w:i w:val="0"/>
                <w:sz w:val="18"/>
                <w:szCs w:val="18"/>
              </w:rPr>
              <w:t>Enable cloud audit logging and forward logs to the monitoring platform.</w:t>
            </w:r>
          </w:p>
        </w:tc>
      </w:tr>
      <w:tr>
        <w:tc>
          <w:tcPr>
            <w:tcW w:type="dxa" w:w="907"/>
          </w:tcPr>
          <w:p>
            <w:r/>
            <w:r>
              <w:rPr>
                <w:rFonts w:ascii="Calibri" w:hAnsi="Calibri" w:cs="Calibri" w:eastAsia="Calibri"/>
                <w:b w:val="0"/>
                <w:i w:val="0"/>
                <w:sz w:val="18"/>
                <w:szCs w:val="18"/>
              </w:rPr>
              <w:t>CL-07</w:t>
            </w:r>
          </w:p>
        </w:tc>
        <w:tc>
          <w:tcPr>
            <w:tcW w:type="dxa" w:w="8447"/>
          </w:tcPr>
          <w:p>
            <w:r/>
            <w:r>
              <w:rPr>
                <w:rFonts w:ascii="Calibri" w:hAnsi="Calibri" w:cs="Calibri" w:eastAsia="Calibri"/>
                <w:b w:val="0"/>
                <w:i w:val="0"/>
                <w:sz w:val="18"/>
                <w:szCs w:val="18"/>
              </w:rPr>
              <w:t>Monitor cloud configuration continuously against secure baselines using automated configuration checks.</w:t>
            </w:r>
          </w:p>
        </w:tc>
      </w:tr>
      <w:tr>
        <w:tc>
          <w:tcPr>
            <w:tcW w:type="dxa" w:w="907"/>
          </w:tcPr>
          <w:p>
            <w:r/>
            <w:r>
              <w:rPr>
                <w:rFonts w:ascii="Calibri" w:hAnsi="Calibri" w:cs="Calibri" w:eastAsia="Calibri"/>
                <w:b w:val="0"/>
                <w:i w:val="0"/>
                <w:sz w:val="18"/>
                <w:szCs w:val="18"/>
              </w:rPr>
              <w:t>CL-08</w:t>
            </w:r>
          </w:p>
        </w:tc>
        <w:tc>
          <w:tcPr>
            <w:tcW w:type="dxa" w:w="8447"/>
          </w:tcPr>
          <w:p>
            <w:r/>
            <w:r>
              <w:rPr>
                <w:rFonts w:ascii="Calibri" w:hAnsi="Calibri" w:cs="Calibri" w:eastAsia="Calibri"/>
                <w:b w:val="0"/>
                <w:i w:val="0"/>
                <w:sz w:val="18"/>
                <w:szCs w:val="18"/>
              </w:rPr>
              <w:t>Back up SaaS data where the provider does not retain it sufficiently.</w:t>
            </w:r>
          </w:p>
        </w:tc>
      </w:tr>
      <w:tr>
        <w:tc>
          <w:tcPr>
            <w:tcW w:type="dxa" w:w="907"/>
          </w:tcPr>
          <w:p>
            <w:r/>
            <w:r>
              <w:rPr>
                <w:rFonts w:ascii="Calibri" w:hAnsi="Calibri" w:cs="Calibri" w:eastAsia="Calibri"/>
                <w:b w:val="0"/>
                <w:i w:val="0"/>
                <w:sz w:val="18"/>
                <w:szCs w:val="18"/>
              </w:rPr>
              <w:t>CL-09</w:t>
            </w:r>
          </w:p>
        </w:tc>
        <w:tc>
          <w:tcPr>
            <w:tcW w:type="dxa" w:w="8447"/>
          </w:tcPr>
          <w:p>
            <w:r/>
            <w:r>
              <w:rPr>
                <w:rFonts w:ascii="Calibri" w:hAnsi="Calibri" w:cs="Calibri" w:eastAsia="Calibri"/>
                <w:b w:val="0"/>
                <w:i w:val="0"/>
                <w:sz w:val="18"/>
                <w:szCs w:val="18"/>
              </w:rPr>
              <w:t>Plan exit: data export format and deletion at termination.</w:t>
            </w:r>
          </w:p>
        </w:tc>
      </w:tr>
      <w:tr>
        <w:tc>
          <w:tcPr>
            <w:tcW w:type="dxa" w:w="907"/>
          </w:tcPr>
          <w:p>
            <w:r/>
            <w:r>
              <w:rPr>
                <w:rFonts w:ascii="Calibri" w:hAnsi="Calibri" w:cs="Calibri" w:eastAsia="Calibri"/>
                <w:b w:val="0"/>
                <w:i w:val="0"/>
                <w:sz w:val="18"/>
                <w:szCs w:val="18"/>
              </w:rPr>
              <w:t>CL-10</w:t>
            </w:r>
          </w:p>
        </w:tc>
        <w:tc>
          <w:tcPr>
            <w:tcW w:type="dxa" w:w="8447"/>
          </w:tcPr>
          <w:p>
            <w:r/>
            <w:r>
              <w:rPr>
                <w:rFonts w:ascii="Calibri" w:hAnsi="Calibri" w:cs="Calibri" w:eastAsia="Calibri"/>
                <w:b w:val="0"/>
                <w:i w:val="0"/>
                <w:sz w:val="18"/>
                <w:szCs w:val="18"/>
              </w:rPr>
              <w:t>CII organizations confirm compliance with any NCSA or CRC cloud security requirements. [VERIFY]</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Use provider security benchmarks (for example, CIS Microsoft 365 Foundations Benchmark) as baselines.</w:t>
      </w:r>
    </w:p>
    <w:p>
      <w:pPr>
        <w:pStyle w:val="ListBullet"/>
        <w:spacing w:after="40"/>
      </w:pPr>
      <w:r>
        <w:rPr>
          <w:rFonts w:ascii="Calibri" w:hAnsi="Calibri" w:cs="Calibri" w:eastAsia="Calibri"/>
          <w:b w:val="0"/>
          <w:i w:val="0"/>
          <w:sz w:val="21"/>
          <w:szCs w:val="21"/>
        </w:rPr>
        <w:t>Review external sharing settings in collaboration platforms quarterly.</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Assuming the cloud provider is responsible for configuration and access.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PR.PS-01: Configuration management practices are established and applied</w:t>
            </w:r>
          </w:p>
          <w:p>
            <w:r>
              <w:rPr>
                <w:rFonts w:ascii="Calibri" w:hAnsi="Calibri" w:cs="Calibri" w:eastAsia="Calibri"/>
                <w:b w:val="0"/>
                <w:i w:val="0"/>
                <w:sz w:val="18"/>
                <w:szCs w:val="18"/>
              </w:rPr>
              <w:t>PR.IR-01: Networks and environments are protected from unauthorized logical access and usage</w:t>
            </w:r>
          </w:p>
          <w:p>
            <w:r>
              <w:rPr>
                <w:rFonts w:ascii="Calibri" w:hAnsi="Calibri" w:cs="Calibri" w:eastAsia="Calibri"/>
                <w:b w:val="0"/>
                <w:i w:val="0"/>
                <w:sz w:val="18"/>
                <w:szCs w:val="18"/>
              </w:rPr>
              <w:t>GV.SC-05: Requirements to address supply chain risks are established, prioritized, and integrated into contracts</w:t>
            </w:r>
          </w:p>
          <w:p>
            <w:r>
              <w:rPr>
                <w:rFonts w:ascii="Calibri" w:hAnsi="Calibri" w:cs="Calibri" w:eastAsia="Calibri"/>
                <w:b w:val="0"/>
                <w:i w:val="0"/>
                <w:sz w:val="18"/>
                <w:szCs w:val="18"/>
              </w:rPr>
              <w:t>PR.AA-05: Access permissions, entitlements, and authorizations are defined, managed, enforced, and reviewed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SA-9, AC-20</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5.23; ISO/IEC 27017; CRC Notification on cloud security for CII [VERIFY]</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GV-POL-006: Third-Party and Supply Chain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PR-STD-014  |  Cloud Security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