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OT and Medical Device Security Standard</w:t>
      </w:r>
    </w:p>
    <w:p>
      <w:pPr>
        <w:spacing w:after="80" w:before="0"/>
      </w:pPr>
      <w:r>
        <w:rPr>
          <w:rFonts w:ascii="Calibri" w:hAnsi="Calibri" w:cs="Calibri" w:eastAsia="Calibri"/>
          <w:b w:val="0"/>
          <w:i w:val="0"/>
          <w:color w:val="595959"/>
          <w:sz w:val="18"/>
          <w:szCs w:val="18"/>
        </w:rPr>
        <w:t>PR-STD-015  |  Standard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OT and Medical Device Security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6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6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800-82 Rev. 3; IEC 62443; IEC 80001-1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OT and Medical Device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14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6 June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security requirements for operational technology (OT) and connected medical devices, balancing safety, availability, and vendor support constraints (NIST SP 800-82 Rev. 3; IEC 80001-1).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OT and medical device security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8448"/>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8447"/>
            <w:shd w:val="clear" w:color="auto" w:fill="1F3864"/>
          </w:tcPr>
          <w:p>
            <w:r/>
            <w:r>
              <w:rPr>
                <w:rFonts w:ascii="Calibri" w:hAnsi="Calibri" w:cs="Calibri" w:eastAsia="Calibri"/>
                <w:b/>
                <w:i w:val="0"/>
                <w:color w:val="FFFFFF"/>
                <w:sz w:val="18"/>
                <w:szCs w:val="18"/>
                <w:bCs/>
              </w:rPr>
              <w:t>Requirement</w:t>
            </w:r>
          </w:p>
        </w:tc>
      </w:tr>
      <w:tr>
        <w:tc>
          <w:tcPr>
            <w:tcW w:type="dxa" w:w="907"/>
          </w:tcPr>
          <w:p>
            <w:r/>
            <w:r>
              <w:rPr>
                <w:rFonts w:ascii="Calibri" w:hAnsi="Calibri" w:cs="Calibri" w:eastAsia="Calibri"/>
                <w:b w:val="0"/>
                <w:i w:val="0"/>
                <w:sz w:val="18"/>
                <w:szCs w:val="18"/>
              </w:rPr>
              <w:t>OT-01</w:t>
            </w:r>
          </w:p>
        </w:tc>
        <w:tc>
          <w:tcPr>
            <w:tcW w:type="dxa" w:w="8447"/>
          </w:tcPr>
          <w:p>
            <w:r/>
            <w:r>
              <w:rPr>
                <w:rFonts w:ascii="Calibri" w:hAnsi="Calibri" w:cs="Calibri" w:eastAsia="Calibri"/>
                <w:b w:val="0"/>
                <w:i w:val="0"/>
                <w:sz w:val="18"/>
                <w:szCs w:val="18"/>
              </w:rPr>
              <w:t>All connected devices are recorded in ID-REG-004 with manufacturer security information (for example, MDS2).</w:t>
            </w:r>
          </w:p>
        </w:tc>
      </w:tr>
      <w:tr>
        <w:tc>
          <w:tcPr>
            <w:tcW w:type="dxa" w:w="907"/>
          </w:tcPr>
          <w:p>
            <w:r/>
            <w:r>
              <w:rPr>
                <w:rFonts w:ascii="Calibri" w:hAnsi="Calibri" w:cs="Calibri" w:eastAsia="Calibri"/>
                <w:b w:val="0"/>
                <w:i w:val="0"/>
                <w:sz w:val="18"/>
                <w:szCs w:val="18"/>
              </w:rPr>
              <w:t>OT-02</w:t>
            </w:r>
          </w:p>
        </w:tc>
        <w:tc>
          <w:tcPr>
            <w:tcW w:type="dxa" w:w="8447"/>
          </w:tcPr>
          <w:p>
            <w:r/>
            <w:r>
              <w:rPr>
                <w:rFonts w:ascii="Calibri" w:hAnsi="Calibri" w:cs="Calibri" w:eastAsia="Calibri"/>
                <w:b w:val="0"/>
                <w:i w:val="0"/>
                <w:sz w:val="18"/>
                <w:szCs w:val="18"/>
              </w:rPr>
              <w:t>Devices are placed in dedicated network segments with allow-only rules to the systems they need.</w:t>
            </w:r>
          </w:p>
        </w:tc>
      </w:tr>
      <w:tr>
        <w:tc>
          <w:tcPr>
            <w:tcW w:type="dxa" w:w="907"/>
          </w:tcPr>
          <w:p>
            <w:r/>
            <w:r>
              <w:rPr>
                <w:rFonts w:ascii="Calibri" w:hAnsi="Calibri" w:cs="Calibri" w:eastAsia="Calibri"/>
                <w:b w:val="0"/>
                <w:i w:val="0"/>
                <w:sz w:val="18"/>
                <w:szCs w:val="18"/>
              </w:rPr>
              <w:t>OT-03</w:t>
            </w:r>
          </w:p>
        </w:tc>
        <w:tc>
          <w:tcPr>
            <w:tcW w:type="dxa" w:w="8447"/>
          </w:tcPr>
          <w:p>
            <w:r/>
            <w:r>
              <w:rPr>
                <w:rFonts w:ascii="Calibri" w:hAnsi="Calibri" w:cs="Calibri" w:eastAsia="Calibri"/>
                <w:b w:val="0"/>
                <w:i w:val="0"/>
                <w:sz w:val="18"/>
                <w:szCs w:val="18"/>
              </w:rPr>
              <w:t>No direct internet access; vendor remote access only through the PAM jump host.</w:t>
            </w:r>
          </w:p>
        </w:tc>
      </w:tr>
      <w:tr>
        <w:tc>
          <w:tcPr>
            <w:tcW w:type="dxa" w:w="907"/>
          </w:tcPr>
          <w:p>
            <w:r/>
            <w:r>
              <w:rPr>
                <w:rFonts w:ascii="Calibri" w:hAnsi="Calibri" w:cs="Calibri" w:eastAsia="Calibri"/>
                <w:b w:val="0"/>
                <w:i w:val="0"/>
                <w:sz w:val="18"/>
                <w:szCs w:val="18"/>
              </w:rPr>
              <w:t>OT-04</w:t>
            </w:r>
          </w:p>
        </w:tc>
        <w:tc>
          <w:tcPr>
            <w:tcW w:type="dxa" w:w="8447"/>
          </w:tcPr>
          <w:p>
            <w:r/>
            <w:r>
              <w:rPr>
                <w:rFonts w:ascii="Calibri" w:hAnsi="Calibri" w:cs="Calibri" w:eastAsia="Calibri"/>
                <w:b w:val="0"/>
                <w:i w:val="0"/>
                <w:sz w:val="18"/>
                <w:szCs w:val="18"/>
              </w:rPr>
              <w:t>Patches are applied only when certified by the manufacturer; otherwise compensating controls and exceptions apply.</w:t>
            </w:r>
          </w:p>
        </w:tc>
      </w:tr>
      <w:tr>
        <w:tc>
          <w:tcPr>
            <w:tcW w:type="dxa" w:w="907"/>
          </w:tcPr>
          <w:p>
            <w:r/>
            <w:r>
              <w:rPr>
                <w:rFonts w:ascii="Calibri" w:hAnsi="Calibri" w:cs="Calibri" w:eastAsia="Calibri"/>
                <w:b w:val="0"/>
                <w:i w:val="0"/>
                <w:sz w:val="18"/>
                <w:szCs w:val="18"/>
              </w:rPr>
              <w:t>OT-05</w:t>
            </w:r>
          </w:p>
        </w:tc>
        <w:tc>
          <w:tcPr>
            <w:tcW w:type="dxa" w:w="8447"/>
          </w:tcPr>
          <w:p>
            <w:r/>
            <w:r>
              <w:rPr>
                <w:rFonts w:ascii="Calibri" w:hAnsi="Calibri" w:cs="Calibri" w:eastAsia="Calibri"/>
                <w:b w:val="0"/>
                <w:i w:val="0"/>
                <w:sz w:val="18"/>
                <w:szCs w:val="18"/>
              </w:rPr>
              <w:t>Default passwords changed; unused services and ports disabled where the manufacturer permits.</w:t>
            </w:r>
          </w:p>
        </w:tc>
      </w:tr>
      <w:tr>
        <w:tc>
          <w:tcPr>
            <w:tcW w:type="dxa" w:w="907"/>
          </w:tcPr>
          <w:p>
            <w:r/>
            <w:r>
              <w:rPr>
                <w:rFonts w:ascii="Calibri" w:hAnsi="Calibri" w:cs="Calibri" w:eastAsia="Calibri"/>
                <w:b w:val="0"/>
                <w:i w:val="0"/>
                <w:sz w:val="18"/>
                <w:szCs w:val="18"/>
              </w:rPr>
              <w:t>OT-06</w:t>
            </w:r>
          </w:p>
        </w:tc>
        <w:tc>
          <w:tcPr>
            <w:tcW w:type="dxa" w:w="8447"/>
          </w:tcPr>
          <w:p>
            <w:r/>
            <w:r>
              <w:rPr>
                <w:rFonts w:ascii="Calibri" w:hAnsi="Calibri" w:cs="Calibri" w:eastAsia="Calibri"/>
                <w:b w:val="0"/>
                <w:i w:val="0"/>
                <w:sz w:val="18"/>
                <w:szCs w:val="18"/>
              </w:rPr>
              <w:t>Passive network monitoring detects anomalies without disrupting devices.</w:t>
            </w:r>
          </w:p>
        </w:tc>
      </w:tr>
      <w:tr>
        <w:tc>
          <w:tcPr>
            <w:tcW w:type="dxa" w:w="907"/>
          </w:tcPr>
          <w:p>
            <w:r/>
            <w:r>
              <w:rPr>
                <w:rFonts w:ascii="Calibri" w:hAnsi="Calibri" w:cs="Calibri" w:eastAsia="Calibri"/>
                <w:b w:val="0"/>
                <w:i w:val="0"/>
                <w:sz w:val="18"/>
                <w:szCs w:val="18"/>
              </w:rPr>
              <w:t>OT-07</w:t>
            </w:r>
          </w:p>
        </w:tc>
        <w:tc>
          <w:tcPr>
            <w:tcW w:type="dxa" w:w="8447"/>
          </w:tcPr>
          <w:p>
            <w:r/>
            <w:r>
              <w:rPr>
                <w:rFonts w:ascii="Calibri" w:hAnsi="Calibri" w:cs="Calibri" w:eastAsia="Calibri"/>
                <w:b w:val="0"/>
                <w:i w:val="0"/>
                <w:sz w:val="18"/>
                <w:szCs w:val="18"/>
              </w:rPr>
              <w:t>New device purchases include security requirements (GV-STD-003).</w:t>
            </w:r>
          </w:p>
        </w:tc>
      </w:tr>
      <w:tr>
        <w:tc>
          <w:tcPr>
            <w:tcW w:type="dxa" w:w="907"/>
          </w:tcPr>
          <w:p>
            <w:r/>
            <w:r>
              <w:rPr>
                <w:rFonts w:ascii="Calibri" w:hAnsi="Calibri" w:cs="Calibri" w:eastAsia="Calibri"/>
                <w:b w:val="0"/>
                <w:i w:val="0"/>
                <w:sz w:val="18"/>
                <w:szCs w:val="18"/>
              </w:rPr>
              <w:t>OT-08</w:t>
            </w:r>
          </w:p>
        </w:tc>
        <w:tc>
          <w:tcPr>
            <w:tcW w:type="dxa" w:w="8447"/>
          </w:tcPr>
          <w:p>
            <w:r/>
            <w:r>
              <w:rPr>
                <w:rFonts w:ascii="Calibri" w:hAnsi="Calibri" w:cs="Calibri" w:eastAsia="Calibri"/>
                <w:b w:val="0"/>
                <w:i w:val="0"/>
                <w:sz w:val="18"/>
                <w:szCs w:val="18"/>
              </w:rPr>
              <w:t>Clinical or operations staff and engineering jointly approve changes that affect device function.</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Form a joint working group of IT, security, biomedical or plant engineering, and clinical or operations leads.</w:t>
      </w:r>
    </w:p>
    <w:p>
      <w:pPr>
        <w:pStyle w:val="ListBullet"/>
        <w:spacing w:after="40"/>
      </w:pPr>
      <w:r>
        <w:rPr>
          <w:rFonts w:ascii="Calibri" w:hAnsi="Calibri" w:cs="Calibri" w:eastAsia="Calibri"/>
          <w:b w:val="0"/>
          <w:i w:val="0"/>
          <w:sz w:val="21"/>
          <w:szCs w:val="21"/>
        </w:rPr>
        <w:t>Prioritize segmentation; it protects devices that can never be patched.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Running active vulnerability scans on infusion pumps or PLCs, causing device faults.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PR.PS-01: Configuration management practices are established and applied</w:t>
            </w:r>
          </w:p>
          <w:p>
            <w:r>
              <w:rPr>
                <w:rFonts w:ascii="Calibri" w:hAnsi="Calibri" w:cs="Calibri" w:eastAsia="Calibri"/>
                <w:b w:val="0"/>
                <w:i w:val="0"/>
                <w:sz w:val="18"/>
                <w:szCs w:val="18"/>
              </w:rPr>
              <w:t>PR.IR-01: Networks and environments are protected from unauthorized logical access and usage</w:t>
            </w:r>
          </w:p>
          <w:p>
            <w:r>
              <w:rPr>
                <w:rFonts w:ascii="Calibri" w:hAnsi="Calibri" w:cs="Calibri" w:eastAsia="Calibri"/>
                <w:b w:val="0"/>
                <w:i w:val="0"/>
                <w:sz w:val="18"/>
                <w:szCs w:val="18"/>
              </w:rPr>
              <w:t>PR.PS-02: Software is maintained, replaced, and removed commensurate with risk</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A.8.9, Annex A.8.22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SC-7, CM-7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800-82 Rev. 3; IEC 62443; IEC 80001-1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PR-STD-015  |  OT and Medical Device Security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