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Security Event Triage and Analysis Procedure</w:t>
      </w:r>
    </w:p>
    <w:p>
      <w:pPr>
        <w:spacing w:after="80" w:before="0"/>
      </w:pPr>
      <w:r>
        <w:rPr>
          <w:rFonts w:ascii="Calibri" w:hAnsi="Calibri" w:cs="Calibri" w:eastAsia="Calibri"/>
          <w:b w:val="0"/>
          <w:i w:val="0"/>
          <w:color w:val="595959"/>
          <w:sz w:val="18"/>
          <w:szCs w:val="18"/>
        </w:rPr>
        <w:t>DE-PRC-002  |  Procedure  |  Adverse Event Analysis (DE.AE)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Security Event Triage and Analysis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SOC Lead (MSSP service manager with Security Manager oversight)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24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24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Adverse Event Analysis (DE.AE)</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5.25</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23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24 May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how security alerts are triaged, enriched, analyzed, correlated, and either closed or declared as incidents (DE.AE-02 to DE.AE-07).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Triage and Analysis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analysis steps from alert to decision.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6974"/>
        <w:gridCol w:w="1701"/>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6973"/>
            <w:shd w:val="clear" w:color="auto" w:fill="1F3864"/>
          </w:tcPr>
          <w:p>
            <w:r/>
            <w:r>
              <w:rPr>
                <w:rFonts w:ascii="Calibri" w:hAnsi="Calibri" w:cs="Calibri" w:eastAsia="Calibri"/>
                <w:b/>
                <w:i w:val="0"/>
                <w:color w:val="FFFFFF"/>
                <w:sz w:val="18"/>
                <w:szCs w:val="18"/>
                <w:bCs/>
              </w:rPr>
              <w:t>Activity</w:t>
            </w:r>
          </w:p>
        </w:tc>
        <w:tc>
          <w:tcPr>
            <w:tcW w:type="dxa" w:w="1701"/>
            <w:shd w:val="clear" w:color="auto" w:fill="1F3864"/>
          </w:tcPr>
          <w:p>
            <w:r/>
            <w:r>
              <w:rPr>
                <w:rFonts w:ascii="Calibri" w:hAnsi="Calibri" w:cs="Calibri" w:eastAsia="Calibri"/>
                <w:b/>
                <w:i w:val="0"/>
                <w:color w:val="FFFFFF"/>
                <w:sz w:val="18"/>
                <w:szCs w:val="18"/>
                <w:bCs/>
              </w:rPr>
              <w:t>CSF</w:t>
            </w:r>
          </w:p>
        </w:tc>
      </w:tr>
      <w:tr>
        <w:tc>
          <w:tcPr>
            <w:tcW w:type="dxa" w:w="680"/>
          </w:tcPr>
          <w:p>
            <w:r/>
            <w:r>
              <w:rPr>
                <w:rFonts w:ascii="Calibri" w:hAnsi="Calibri" w:cs="Calibri" w:eastAsia="Calibri"/>
                <w:b w:val="0"/>
                <w:i w:val="0"/>
                <w:sz w:val="18"/>
                <w:szCs w:val="18"/>
              </w:rPr>
              <w:t>1</w:t>
            </w:r>
          </w:p>
        </w:tc>
        <w:tc>
          <w:tcPr>
            <w:tcW w:type="dxa" w:w="6973"/>
          </w:tcPr>
          <w:p>
            <w:r/>
            <w:r>
              <w:rPr>
                <w:rFonts w:ascii="Calibri" w:hAnsi="Calibri" w:cs="Calibri" w:eastAsia="Calibri"/>
                <w:b w:val="0"/>
                <w:i w:val="0"/>
                <w:sz w:val="18"/>
                <w:szCs w:val="18"/>
              </w:rPr>
              <w:t>Acknowledge the alert and check whether it is a known false positive</w:t>
            </w:r>
          </w:p>
        </w:tc>
        <w:tc>
          <w:tcPr>
            <w:tcW w:type="dxa" w:w="1701"/>
          </w:tcPr>
          <w:p>
            <w:r/>
            <w:r>
              <w:rPr>
                <w:rFonts w:ascii="Calibri" w:hAnsi="Calibri" w:cs="Calibri" w:eastAsia="Calibri"/>
                <w:b w:val="0"/>
                <w:i w:val="0"/>
                <w:sz w:val="18"/>
                <w:szCs w:val="18"/>
              </w:rPr>
              <w:t>DE.AE-02</w:t>
            </w:r>
          </w:p>
        </w:tc>
      </w:tr>
      <w:tr>
        <w:tc>
          <w:tcPr>
            <w:tcW w:type="dxa" w:w="680"/>
          </w:tcPr>
          <w:p>
            <w:r/>
            <w:r>
              <w:rPr>
                <w:rFonts w:ascii="Calibri" w:hAnsi="Calibri" w:cs="Calibri" w:eastAsia="Calibri"/>
                <w:b w:val="0"/>
                <w:i w:val="0"/>
                <w:sz w:val="18"/>
                <w:szCs w:val="18"/>
              </w:rPr>
              <w:t>2</w:t>
            </w:r>
          </w:p>
        </w:tc>
        <w:tc>
          <w:tcPr>
            <w:tcW w:type="dxa" w:w="6973"/>
          </w:tcPr>
          <w:p>
            <w:r/>
            <w:r>
              <w:rPr>
                <w:rFonts w:ascii="Calibri" w:hAnsi="Calibri" w:cs="Calibri" w:eastAsia="Calibri"/>
                <w:b w:val="0"/>
                <w:i w:val="0"/>
                <w:sz w:val="18"/>
                <w:szCs w:val="18"/>
              </w:rPr>
              <w:t>Enrich with asset criticality, user role, threat intelligence, and recent changes</w:t>
            </w:r>
          </w:p>
        </w:tc>
        <w:tc>
          <w:tcPr>
            <w:tcW w:type="dxa" w:w="1701"/>
          </w:tcPr>
          <w:p>
            <w:r/>
            <w:r>
              <w:rPr>
                <w:rFonts w:ascii="Calibri" w:hAnsi="Calibri" w:cs="Calibri" w:eastAsia="Calibri"/>
                <w:b w:val="0"/>
                <w:i w:val="0"/>
                <w:sz w:val="18"/>
                <w:szCs w:val="18"/>
              </w:rPr>
              <w:t>DE.AE-07</w:t>
            </w:r>
          </w:p>
        </w:tc>
      </w:tr>
      <w:tr>
        <w:tc>
          <w:tcPr>
            <w:tcW w:type="dxa" w:w="680"/>
          </w:tcPr>
          <w:p>
            <w:r/>
            <w:r>
              <w:rPr>
                <w:rFonts w:ascii="Calibri" w:hAnsi="Calibri" w:cs="Calibri" w:eastAsia="Calibri"/>
                <w:b w:val="0"/>
                <w:i w:val="0"/>
                <w:sz w:val="18"/>
                <w:szCs w:val="18"/>
              </w:rPr>
              <w:t>3</w:t>
            </w:r>
          </w:p>
        </w:tc>
        <w:tc>
          <w:tcPr>
            <w:tcW w:type="dxa" w:w="6973"/>
          </w:tcPr>
          <w:p>
            <w:r/>
            <w:r>
              <w:rPr>
                <w:rFonts w:ascii="Calibri" w:hAnsi="Calibri" w:cs="Calibri" w:eastAsia="Calibri"/>
                <w:b w:val="0"/>
                <w:i w:val="0"/>
                <w:sz w:val="18"/>
                <w:szCs w:val="18"/>
              </w:rPr>
              <w:t>Correlate with other sources (identity, EDR, network) and related alerts</w:t>
            </w:r>
          </w:p>
        </w:tc>
        <w:tc>
          <w:tcPr>
            <w:tcW w:type="dxa" w:w="1701"/>
          </w:tcPr>
          <w:p>
            <w:r/>
            <w:r>
              <w:rPr>
                <w:rFonts w:ascii="Calibri" w:hAnsi="Calibri" w:cs="Calibri" w:eastAsia="Calibri"/>
                <w:b w:val="0"/>
                <w:i w:val="0"/>
                <w:sz w:val="18"/>
                <w:szCs w:val="18"/>
              </w:rPr>
              <w:t>DE.AE-03</w:t>
            </w:r>
          </w:p>
        </w:tc>
      </w:tr>
      <w:tr>
        <w:tc>
          <w:tcPr>
            <w:tcW w:type="dxa" w:w="680"/>
          </w:tcPr>
          <w:p>
            <w:r/>
            <w:r>
              <w:rPr>
                <w:rFonts w:ascii="Calibri" w:hAnsi="Calibri" w:cs="Calibri" w:eastAsia="Calibri"/>
                <w:b w:val="0"/>
                <w:i w:val="0"/>
                <w:sz w:val="18"/>
                <w:szCs w:val="18"/>
              </w:rPr>
              <w:t>4</w:t>
            </w:r>
          </w:p>
        </w:tc>
        <w:tc>
          <w:tcPr>
            <w:tcW w:type="dxa" w:w="6973"/>
          </w:tcPr>
          <w:p>
            <w:r/>
            <w:r>
              <w:rPr>
                <w:rFonts w:ascii="Calibri" w:hAnsi="Calibri" w:cs="Calibri" w:eastAsia="Calibri"/>
                <w:b w:val="0"/>
                <w:i w:val="0"/>
                <w:sz w:val="18"/>
                <w:szCs w:val="18"/>
              </w:rPr>
              <w:t>Estimate scope and impact: systems, data, users affected</w:t>
            </w:r>
          </w:p>
        </w:tc>
        <w:tc>
          <w:tcPr>
            <w:tcW w:type="dxa" w:w="1701"/>
          </w:tcPr>
          <w:p>
            <w:r/>
            <w:r>
              <w:rPr>
                <w:rFonts w:ascii="Calibri" w:hAnsi="Calibri" w:cs="Calibri" w:eastAsia="Calibri"/>
                <w:b w:val="0"/>
                <w:i w:val="0"/>
                <w:sz w:val="18"/>
                <w:szCs w:val="18"/>
              </w:rPr>
              <w:t>DE.AE-04</w:t>
            </w:r>
          </w:p>
        </w:tc>
      </w:tr>
      <w:tr>
        <w:tc>
          <w:tcPr>
            <w:tcW w:type="dxa" w:w="680"/>
          </w:tcPr>
          <w:p>
            <w:r/>
            <w:r>
              <w:rPr>
                <w:rFonts w:ascii="Calibri" w:hAnsi="Calibri" w:cs="Calibri" w:eastAsia="Calibri"/>
                <w:b w:val="0"/>
                <w:i w:val="0"/>
                <w:sz w:val="18"/>
                <w:szCs w:val="18"/>
              </w:rPr>
              <w:t>5</w:t>
            </w:r>
          </w:p>
        </w:tc>
        <w:tc>
          <w:tcPr>
            <w:tcW w:type="dxa" w:w="6973"/>
          </w:tcPr>
          <w:p>
            <w:r/>
            <w:r>
              <w:rPr>
                <w:rFonts w:ascii="Calibri" w:hAnsi="Calibri" w:cs="Calibri" w:eastAsia="Calibri"/>
                <w:b w:val="0"/>
                <w:i w:val="0"/>
                <w:sz w:val="18"/>
                <w:szCs w:val="18"/>
              </w:rPr>
              <w:t>Decide: close with reason, monitor, or declare an incident per DE-STD-002</w:t>
            </w:r>
          </w:p>
        </w:tc>
        <w:tc>
          <w:tcPr>
            <w:tcW w:type="dxa" w:w="1701"/>
          </w:tcPr>
          <w:p>
            <w:r/>
            <w:r>
              <w:rPr>
                <w:rFonts w:ascii="Calibri" w:hAnsi="Calibri" w:cs="Calibri" w:eastAsia="Calibri"/>
                <w:b w:val="0"/>
                <w:i w:val="0"/>
                <w:sz w:val="18"/>
                <w:szCs w:val="18"/>
              </w:rPr>
              <w:t>DE.AE-08</w:t>
            </w:r>
          </w:p>
        </w:tc>
      </w:tr>
      <w:tr>
        <w:tc>
          <w:tcPr>
            <w:tcW w:type="dxa" w:w="680"/>
          </w:tcPr>
          <w:p>
            <w:r/>
            <w:r>
              <w:rPr>
                <w:rFonts w:ascii="Calibri" w:hAnsi="Calibri" w:cs="Calibri" w:eastAsia="Calibri"/>
                <w:b w:val="0"/>
                <w:i w:val="0"/>
                <w:sz w:val="18"/>
                <w:szCs w:val="18"/>
              </w:rPr>
              <w:t>6</w:t>
            </w:r>
          </w:p>
        </w:tc>
        <w:tc>
          <w:tcPr>
            <w:tcW w:type="dxa" w:w="6973"/>
          </w:tcPr>
          <w:p>
            <w:r/>
            <w:r>
              <w:rPr>
                <w:rFonts w:ascii="Calibri" w:hAnsi="Calibri" w:cs="Calibri" w:eastAsia="Calibri"/>
                <w:b w:val="0"/>
                <w:i w:val="0"/>
                <w:sz w:val="18"/>
                <w:szCs w:val="18"/>
              </w:rPr>
              <w:t>Notify authorized staff and record the case</w:t>
            </w:r>
          </w:p>
        </w:tc>
        <w:tc>
          <w:tcPr>
            <w:tcW w:type="dxa" w:w="1701"/>
          </w:tcPr>
          <w:p>
            <w:r/>
            <w:r>
              <w:rPr>
                <w:rFonts w:ascii="Calibri" w:hAnsi="Calibri" w:cs="Calibri" w:eastAsia="Calibri"/>
                <w:b w:val="0"/>
                <w:i w:val="0"/>
                <w:sz w:val="18"/>
                <w:szCs w:val="18"/>
              </w:rPr>
              <w:t>DE.AE-06</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Document triage decisions so others can learn and auditors can verify.</w:t>
      </w:r>
    </w:p>
    <w:p>
      <w:pPr>
        <w:pStyle w:val="ListBullet"/>
        <w:spacing w:after="40"/>
      </w:pPr>
      <w:r>
        <w:rPr>
          <w:rFonts w:ascii="Calibri" w:hAnsi="Calibri" w:cs="Calibri" w:eastAsia="Calibri"/>
          <w:b w:val="0"/>
          <w:i w:val="0"/>
          <w:sz w:val="21"/>
          <w:szCs w:val="21"/>
        </w:rPr>
        <w:t>Automate enrichment (asset owner, user role) to cut triage time.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Closing alerts as false positives without investigation because volume is high.</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DE.AE-02: Potentially adverse events are analyzed to better understand associated activities</w:t>
            </w:r>
          </w:p>
          <w:p>
            <w:r>
              <w:rPr>
                <w:rFonts w:ascii="Calibri" w:hAnsi="Calibri" w:cs="Calibri" w:eastAsia="Calibri"/>
                <w:b w:val="0"/>
                <w:i w:val="0"/>
                <w:sz w:val="18"/>
                <w:szCs w:val="18"/>
              </w:rPr>
              <w:t>DE.AE-03: Information is correlated from multiple sources</w:t>
            </w:r>
          </w:p>
          <w:p>
            <w:r>
              <w:rPr>
                <w:rFonts w:ascii="Calibri" w:hAnsi="Calibri" w:cs="Calibri" w:eastAsia="Calibri"/>
                <w:b w:val="0"/>
                <w:i w:val="0"/>
                <w:sz w:val="18"/>
                <w:szCs w:val="18"/>
              </w:rPr>
              <w:t>DE.AE-04: The estimated impact and scope of adverse events are understood</w:t>
            </w:r>
          </w:p>
          <w:p>
            <w:r>
              <w:rPr>
                <w:rFonts w:ascii="Calibri" w:hAnsi="Calibri" w:cs="Calibri" w:eastAsia="Calibri"/>
                <w:b w:val="0"/>
                <w:i w:val="0"/>
                <w:sz w:val="18"/>
                <w:szCs w:val="18"/>
              </w:rPr>
              <w:t>DE.AE-06: Information on adverse events is provided to authorized staff and tools</w:t>
            </w:r>
          </w:p>
          <w:p>
            <w:r>
              <w:rPr>
                <w:rFonts w:ascii="Calibri" w:hAnsi="Calibri" w:cs="Calibri" w:eastAsia="Calibri"/>
                <w:b w:val="0"/>
                <w:i w:val="0"/>
                <w:sz w:val="18"/>
                <w:szCs w:val="18"/>
              </w:rPr>
              <w:t>DE.AE-07: Cyber threat intelligence and other contextual information are integrated into the analysis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A.5.25</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 SI-4</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5.25</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DE-PRC-002  |  Security Event Triage and Analysis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