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Threat Hunting Procedure</w:t>
      </w:r>
    </w:p>
    <w:p>
      <w:pPr>
        <w:spacing w:after="80" w:before="0"/>
      </w:pPr>
      <w:r>
        <w:rPr>
          <w:rFonts w:ascii="Calibri" w:hAnsi="Calibri" w:cs="Calibri" w:eastAsia="Calibri"/>
          <w:b w:val="0"/>
          <w:i w:val="0"/>
          <w:color w:val="595959"/>
          <w:sz w:val="18"/>
          <w:szCs w:val="18"/>
        </w:rPr>
        <w:t>DE-PRC-003  |  Procedure  |  Adverse Event Analysis (DE.AE)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DE-PRC-003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Threat Hunting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SOC Lead (MSSP service manager with Security Manager oversight)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3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3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Detect (DE)</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Adverse Event Analysis (DE.AE)</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NIST SP 800-53 Rev. 5 RA-10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17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3 July 2026</w:t>
            </w:r>
          </w:p>
        </w:tc>
        <w:tc>
          <w:tcPr>
            <w:tcW w:type="dxa" w:w="3742"/>
          </w:tcPr>
          <w:p>
            <w:r/>
            <w:r>
              <w:rPr>
                <w:rFonts w:ascii="Calibri" w:hAnsi="Calibri" w:cs="Calibri" w:eastAsia="Calibri"/>
                <w:b w:val="0"/>
                <w:i w:val="0"/>
                <w:sz w:val="18"/>
                <w:szCs w:val="18"/>
              </w:rPr>
              <w:t>Updated after onboarding the managed security service provider (MSSP) for 24x7 monitoring in March 2026.</w:t>
            </w:r>
          </w:p>
        </w:tc>
        <w:tc>
          <w:tcPr>
            <w:tcW w:type="dxa" w:w="1587"/>
          </w:tcPr>
          <w:p>
            <w:r/>
            <w:r>
              <w:rPr>
                <w:rFonts w:ascii="Calibri" w:hAnsi="Calibri" w:cs="Calibri" w:eastAsia="Calibri"/>
                <w:b w:val="0"/>
                <w:i w:val="0"/>
                <w:sz w:val="18"/>
                <w:szCs w:val="18"/>
              </w:rPr>
              <w:t>SOC Lead (MSSP service manager with Security Manager oversight)</w:t>
            </w:r>
          </w:p>
        </w:tc>
        <w:tc>
          <w:tcPr>
            <w:tcW w:type="dxa" w:w="1531"/>
          </w:tcPr>
          <w:p>
            <w:r/>
            <w:r>
              <w:rPr>
                <w:rFonts w:ascii="Calibri" w:hAnsi="Calibri" w:cs="Calibri" w:eastAsia="Calibri"/>
                <w:b w:val="0"/>
                <w:i w:val="0"/>
                <w:sz w:val="18"/>
                <w:szCs w:val="18"/>
              </w:rPr>
              <w:t>Security Manager</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guides proactive, hypothesis-driven searches for threats that evaded automated detection (DE.AE-02, DE.AE-03, DE.AE-07).</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Hunt Cycle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hunt cycle.</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Form a hypothesis from threat intelligence or recent incidents (for example, 'attackers use remote management tools for persistence').</w:t>
      </w:r>
    </w:p>
    <w:p>
      <w:pPr>
        <w:pStyle w:val="ListNumber"/>
        <w:spacing w:after="40"/>
      </w:pPr>
      <w:r>
        <w:rPr>
          <w:rFonts w:ascii="Calibri" w:hAnsi="Calibri" w:cs="Calibri" w:eastAsia="Calibri"/>
          <w:b w:val="0"/>
          <w:i w:val="0"/>
          <w:sz w:val="21"/>
          <w:szCs w:val="21"/>
        </w:rPr>
        <w:t>Identify data needed and confirm it is available.</w:t>
      </w:r>
    </w:p>
    <w:p>
      <w:pPr>
        <w:pStyle w:val="ListNumber"/>
        <w:spacing w:after="40"/>
      </w:pPr>
      <w:r>
        <w:rPr>
          <w:rFonts w:ascii="Calibri" w:hAnsi="Calibri" w:cs="Calibri" w:eastAsia="Calibri"/>
          <w:b w:val="0"/>
          <w:i w:val="0"/>
          <w:sz w:val="21"/>
          <w:szCs w:val="21"/>
        </w:rPr>
        <w:t>Search, analyze, and pivot across sources.</w:t>
      </w:r>
    </w:p>
    <w:p>
      <w:pPr>
        <w:pStyle w:val="ListNumber"/>
        <w:spacing w:after="40"/>
      </w:pPr>
      <w:r>
        <w:rPr>
          <w:rFonts w:ascii="Calibri" w:hAnsi="Calibri" w:cs="Calibri" w:eastAsia="Calibri"/>
          <w:b w:val="0"/>
          <w:i w:val="0"/>
          <w:sz w:val="21"/>
          <w:szCs w:val="21"/>
        </w:rPr>
        <w:t>Confirm or reject the hypothesis; escalate findings as incidents.</w:t>
      </w:r>
    </w:p>
    <w:p>
      <w:pPr>
        <w:pStyle w:val="ListNumber"/>
        <w:spacing w:after="40"/>
      </w:pPr>
      <w:r>
        <w:rPr>
          <w:rFonts w:ascii="Calibri" w:hAnsi="Calibri" w:cs="Calibri" w:eastAsia="Calibri"/>
          <w:b w:val="0"/>
          <w:i w:val="0"/>
          <w:sz w:val="21"/>
          <w:szCs w:val="21"/>
        </w:rPr>
        <w:t>Turn successful hunts into automated detections (DE-REG-002).</w:t>
      </w:r>
    </w:p>
    <w:p>
      <w:pPr>
        <w:pStyle w:val="ListNumber"/>
        <w:spacing w:after="40"/>
      </w:pPr>
      <w:r>
        <w:rPr>
          <w:rFonts w:ascii="Calibri" w:hAnsi="Calibri" w:cs="Calibri" w:eastAsia="Calibri"/>
          <w:b w:val="0"/>
          <w:i w:val="0"/>
          <w:sz w:val="21"/>
          <w:szCs w:val="21"/>
        </w:rPr>
        <w:t>Record the hunt, data gaps, and outcomes.</w:t>
      </w: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Run at least one hunt per quarter focused on the top threat to your sector.</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Calling routine alert review 'threat hunting'.</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DE.AE-02: Potentially adverse events are analyzed to better understand associated activities</w:t>
            </w:r>
          </w:p>
          <w:p>
            <w:r>
              <w:rPr>
                <w:rFonts w:ascii="Calibri" w:hAnsi="Calibri" w:cs="Calibri" w:eastAsia="Calibri"/>
                <w:b w:val="0"/>
                <w:i w:val="0"/>
                <w:sz w:val="18"/>
                <w:szCs w:val="18"/>
              </w:rPr>
              <w:t>DE.AE-03: Information is correlated from multiple sources</w:t>
            </w:r>
          </w:p>
          <w:p>
            <w:r>
              <w:rPr>
                <w:rFonts w:ascii="Calibri" w:hAnsi="Calibri" w:cs="Calibri" w:eastAsia="Calibri"/>
                <w:b w:val="0"/>
                <w:i w:val="0"/>
                <w:sz w:val="18"/>
                <w:szCs w:val="18"/>
              </w:rPr>
              <w:t>DE.AE-07: Cyber threat intelligence and other contextual information are integrated into the analysis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A.8.16</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RA-10</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NIST SP 800-53 Rev. 5 RA-10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DE-STD-001: Security Monitoring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DE-PRC-003  |  Threat Hunting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