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Detection Use Case Catalog</w:t>
      </w:r>
    </w:p>
    <w:p>
      <w:pPr>
        <w:spacing w:after="80" w:before="0"/>
      </w:pPr>
      <w:r>
        <w:rPr>
          <w:rFonts w:ascii="Calibri" w:hAnsi="Calibri" w:cs="Calibri" w:eastAsia="Calibri"/>
          <w:b w:val="0"/>
          <w:i w:val="0"/>
          <w:color w:val="595959"/>
          <w:sz w:val="18"/>
          <w:szCs w:val="18"/>
        </w:rPr>
        <w:t>DE-REG-002  |  Register  |  Adverse Event Analysis (DE.AE)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DE-REG-002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Detection Use Case Catalog</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SOC Lead (MSSP service manager with Security Manager oversight)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19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19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Adverse Event Analysis (DE.AE)</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MITRE ATT&amp;CK; ISO/IEC 27001:2022 Annex A 8.16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10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19 April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catalog lists detection use cases, the threat each addresses, data sources, logic owner, and test status, so detection capability is managed and measured (DE.AE-02, DE.AE-07).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(DE-STD-001)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Use case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UC-01</w:t>
            </w:r>
          </w:p>
        </w:tc>
      </w:tr>
      <w:tr>
        <w:tc>
          <w:tcPr>
            <w:tcW w:type="dxa" w:w="2268"/>
          </w:tcPr>
          <w:p>
            <w:r/>
            <w:r>
              <w:rPr>
                <w:rFonts w:ascii="Calibri" w:hAnsi="Calibri" w:cs="Calibri" w:eastAsia="Calibri"/>
                <w:b w:val="0"/>
                <w:i w:val="0"/>
                <w:sz w:val="18"/>
                <w:szCs w:val="18"/>
              </w:rPr>
              <w:t>Detection</w:t>
            </w:r>
          </w:p>
        </w:tc>
        <w:tc>
          <w:tcPr>
            <w:tcW w:type="dxa" w:w="4535"/>
          </w:tcPr>
          <w:p>
            <w:r/>
            <w:r>
              <w:rPr>
                <w:rFonts w:ascii="Calibri" w:hAnsi="Calibri" w:cs="Calibri" w:eastAsia="Calibri"/>
                <w:b w:val="0"/>
                <w:i w:val="0"/>
                <w:sz w:val="18"/>
                <w:szCs w:val="18"/>
              </w:rPr>
              <w:t>What the rule detects.</w:t>
            </w:r>
          </w:p>
        </w:tc>
        <w:tc>
          <w:tcPr>
            <w:tcW w:type="dxa" w:w="2551"/>
          </w:tcPr>
          <w:p>
            <w:r/>
          </w:p>
        </w:tc>
      </w:tr>
      <w:tr>
        <w:tc>
          <w:tcPr>
            <w:tcW w:type="dxa" w:w="2268"/>
          </w:tcPr>
          <w:p>
            <w:r/>
            <w:r>
              <w:rPr>
                <w:rFonts w:ascii="Calibri" w:hAnsi="Calibri" w:cs="Calibri" w:eastAsia="Calibri"/>
                <w:b w:val="0"/>
                <w:i w:val="0"/>
                <w:sz w:val="18"/>
                <w:szCs w:val="18"/>
              </w:rPr>
              <w:t>MITRE ATT&amp;CK technique</w:t>
            </w:r>
          </w:p>
        </w:tc>
        <w:tc>
          <w:tcPr>
            <w:tcW w:type="dxa" w:w="4535"/>
          </w:tcPr>
          <w:p>
            <w:r/>
            <w:r>
              <w:rPr>
                <w:rFonts w:ascii="Calibri" w:hAnsi="Calibri" w:cs="Calibri" w:eastAsia="Calibri"/>
                <w:b w:val="0"/>
                <w:i w:val="0"/>
                <w:sz w:val="18"/>
                <w:szCs w:val="18"/>
              </w:rPr>
              <w:t>Technique ID.</w:t>
            </w:r>
          </w:p>
        </w:tc>
        <w:tc>
          <w:tcPr>
            <w:tcW w:type="dxa" w:w="2551"/>
          </w:tcPr>
          <w:p>
            <w:r/>
            <w:r>
              <w:rPr>
                <w:rFonts w:ascii="Calibri" w:hAnsi="Calibri" w:cs="Calibri" w:eastAsia="Calibri"/>
                <w:b w:val="0"/>
                <w:i w:val="0"/>
                <w:sz w:val="18"/>
                <w:szCs w:val="18"/>
              </w:rPr>
              <w:t>T1110</w:t>
            </w:r>
          </w:p>
        </w:tc>
      </w:tr>
      <w:tr>
        <w:tc>
          <w:tcPr>
            <w:tcW w:type="dxa" w:w="2268"/>
          </w:tcPr>
          <w:p>
            <w:r/>
            <w:r>
              <w:rPr>
                <w:rFonts w:ascii="Calibri" w:hAnsi="Calibri" w:cs="Calibri" w:eastAsia="Calibri"/>
                <w:b w:val="0"/>
                <w:i w:val="0"/>
                <w:sz w:val="18"/>
                <w:szCs w:val="18"/>
              </w:rPr>
              <w:t>Data sources</w:t>
            </w:r>
          </w:p>
        </w:tc>
        <w:tc>
          <w:tcPr>
            <w:tcW w:type="dxa" w:w="4535"/>
          </w:tcPr>
          <w:p>
            <w:r/>
            <w:r>
              <w:rPr>
                <w:rFonts w:ascii="Calibri" w:hAnsi="Calibri" w:cs="Calibri" w:eastAsia="Calibri"/>
                <w:b w:val="0"/>
                <w:i w:val="0"/>
                <w:sz w:val="18"/>
                <w:szCs w:val="18"/>
              </w:rPr>
              <w:t>From DE-REG-001.</w:t>
            </w:r>
          </w:p>
        </w:tc>
        <w:tc>
          <w:tcPr>
            <w:tcW w:type="dxa" w:w="2551"/>
          </w:tcPr>
          <w:p>
            <w:r/>
          </w:p>
        </w:tc>
      </w:tr>
      <w:tr>
        <w:tc>
          <w:tcPr>
            <w:tcW w:type="dxa" w:w="2268"/>
          </w:tcPr>
          <w:p>
            <w:r/>
            <w:r>
              <w:rPr>
                <w:rFonts w:ascii="Calibri" w:hAnsi="Calibri" w:cs="Calibri" w:eastAsia="Calibri"/>
                <w:b w:val="0"/>
                <w:i w:val="0"/>
                <w:sz w:val="18"/>
                <w:szCs w:val="18"/>
              </w:rPr>
              <w:t>Severity</w:t>
            </w:r>
          </w:p>
        </w:tc>
        <w:tc>
          <w:tcPr>
            <w:tcW w:type="dxa" w:w="4535"/>
          </w:tcPr>
          <w:p>
            <w:r/>
            <w:r>
              <w:rPr>
                <w:rFonts w:ascii="Calibri" w:hAnsi="Calibri" w:cs="Calibri" w:eastAsia="Calibri"/>
                <w:b w:val="0"/>
                <w:i w:val="0"/>
                <w:sz w:val="18"/>
                <w:szCs w:val="18"/>
              </w:rPr>
              <w:t>Default alert severity.</w:t>
            </w:r>
          </w:p>
        </w:tc>
        <w:tc>
          <w:tcPr>
            <w:tcW w:type="dxa" w:w="2551"/>
          </w:tcPr>
          <w:p>
            <w:r/>
          </w:p>
        </w:tc>
      </w:tr>
      <w:tr>
        <w:tc>
          <w:tcPr>
            <w:tcW w:type="dxa" w:w="2268"/>
          </w:tcPr>
          <w:p>
            <w:r/>
            <w:r>
              <w:rPr>
                <w:rFonts w:ascii="Calibri" w:hAnsi="Calibri" w:cs="Calibri" w:eastAsia="Calibri"/>
                <w:b w:val="0"/>
                <w:i w:val="0"/>
                <w:sz w:val="18"/>
                <w:szCs w:val="18"/>
              </w:rPr>
              <w:t>Response playbook</w:t>
            </w:r>
          </w:p>
        </w:tc>
        <w:tc>
          <w:tcPr>
            <w:tcW w:type="dxa" w:w="4535"/>
          </w:tcPr>
          <w:p>
            <w:r/>
            <w:r>
              <w:rPr>
                <w:rFonts w:ascii="Calibri" w:hAnsi="Calibri" w:cs="Calibri" w:eastAsia="Calibri"/>
                <w:b w:val="0"/>
                <w:i w:val="0"/>
                <w:sz w:val="18"/>
                <w:szCs w:val="18"/>
              </w:rPr>
              <w:t>Linked playbook.</w:t>
            </w:r>
          </w:p>
        </w:tc>
        <w:tc>
          <w:tcPr>
            <w:tcW w:type="dxa" w:w="2551"/>
          </w:tcPr>
          <w:p>
            <w:r/>
          </w:p>
        </w:tc>
      </w:tr>
      <w:tr>
        <w:tc>
          <w:tcPr>
            <w:tcW w:type="dxa" w:w="2268"/>
          </w:tcPr>
          <w:p>
            <w:r/>
            <w:r>
              <w:rPr>
                <w:rFonts w:ascii="Calibri" w:hAnsi="Calibri" w:cs="Calibri" w:eastAsia="Calibri"/>
                <w:b w:val="0"/>
                <w:i w:val="0"/>
                <w:sz w:val="18"/>
                <w:szCs w:val="18"/>
              </w:rPr>
              <w:t>Last tested</w:t>
            </w:r>
          </w:p>
        </w:tc>
        <w:tc>
          <w:tcPr>
            <w:tcW w:type="dxa" w:w="4535"/>
          </w:tcPr>
          <w:p>
            <w:r/>
            <w:r>
              <w:rPr>
                <w:rFonts w:ascii="Calibri" w:hAnsi="Calibri" w:cs="Calibri" w:eastAsia="Calibri"/>
                <w:b w:val="0"/>
                <w:i w:val="0"/>
                <w:sz w:val="18"/>
                <w:szCs w:val="18"/>
              </w:rPr>
              <w:t>Date and result.</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2162"/>
        <w:gridCol w:w="2162"/>
        <w:gridCol w:w="2162"/>
        <w:gridCol w:w="2162"/>
        <w:gridCol w:w="2162"/>
        <w:gridCol w:w="2162"/>
        <w:gridCol w:w="2162"/>
      </w:tblGrid>
      <w:tr>
        <w:trPr>
          <w:tblHeader w:val="true"/>
        </w:trPr>
        <w:tc>
          <w:tcPr>
            <w:tcW w:type="dxa" w:w="2162"/>
            <w:shd w:val="clear" w:color="auto" w:fill="1F3864"/>
          </w:tcPr>
          <w:p>
            <w:r/>
            <w:r>
              <w:rPr>
                <w:rFonts w:ascii="Calibri" w:hAnsi="Calibri" w:cs="Calibri" w:eastAsia="Calibri"/>
                <w:b/>
                <w:i w:val="0"/>
                <w:color w:val="FFFFFF"/>
                <w:sz w:val="16"/>
                <w:szCs w:val="16"/>
                <w:bCs/>
              </w:rPr>
              <w:t>Use case ID</w:t>
            </w:r>
          </w:p>
        </w:tc>
        <w:tc>
          <w:tcPr>
            <w:tcW w:type="dxa" w:w="2162"/>
            <w:shd w:val="clear" w:color="auto" w:fill="1F3864"/>
          </w:tcPr>
          <w:p>
            <w:r/>
            <w:r>
              <w:rPr>
                <w:rFonts w:ascii="Calibri" w:hAnsi="Calibri" w:cs="Calibri" w:eastAsia="Calibri"/>
                <w:b/>
                <w:i w:val="0"/>
                <w:color w:val="FFFFFF"/>
                <w:sz w:val="16"/>
                <w:szCs w:val="16"/>
                <w:bCs/>
              </w:rPr>
              <w:t>Detection</w:t>
            </w:r>
          </w:p>
        </w:tc>
        <w:tc>
          <w:tcPr>
            <w:tcW w:type="dxa" w:w="2162"/>
            <w:shd w:val="clear" w:color="auto" w:fill="1F3864"/>
          </w:tcPr>
          <w:p>
            <w:r/>
            <w:r>
              <w:rPr>
                <w:rFonts w:ascii="Calibri" w:hAnsi="Calibri" w:cs="Calibri" w:eastAsia="Calibri"/>
                <w:b/>
                <w:i w:val="0"/>
                <w:color w:val="FFFFFF"/>
                <w:sz w:val="16"/>
                <w:szCs w:val="16"/>
                <w:bCs/>
              </w:rPr>
              <w:t>MITRE ATT&amp;CK technique</w:t>
            </w:r>
          </w:p>
        </w:tc>
        <w:tc>
          <w:tcPr>
            <w:tcW w:type="dxa" w:w="2162"/>
            <w:shd w:val="clear" w:color="auto" w:fill="1F3864"/>
          </w:tcPr>
          <w:p>
            <w:r/>
            <w:r>
              <w:rPr>
                <w:rFonts w:ascii="Calibri" w:hAnsi="Calibri" w:cs="Calibri" w:eastAsia="Calibri"/>
                <w:b/>
                <w:i w:val="0"/>
                <w:color w:val="FFFFFF"/>
                <w:sz w:val="16"/>
                <w:szCs w:val="16"/>
                <w:bCs/>
              </w:rPr>
              <w:t>Data sources</w:t>
            </w:r>
          </w:p>
        </w:tc>
        <w:tc>
          <w:tcPr>
            <w:tcW w:type="dxa" w:w="2162"/>
            <w:shd w:val="clear" w:color="auto" w:fill="1F3864"/>
          </w:tcPr>
          <w:p>
            <w:r/>
            <w:r>
              <w:rPr>
                <w:rFonts w:ascii="Calibri" w:hAnsi="Calibri" w:cs="Calibri" w:eastAsia="Calibri"/>
                <w:b/>
                <w:i w:val="0"/>
                <w:color w:val="FFFFFF"/>
                <w:sz w:val="16"/>
                <w:szCs w:val="16"/>
                <w:bCs/>
              </w:rPr>
              <w:t>Severity</w:t>
            </w:r>
          </w:p>
        </w:tc>
        <w:tc>
          <w:tcPr>
            <w:tcW w:type="dxa" w:w="2162"/>
            <w:shd w:val="clear" w:color="auto" w:fill="1F3864"/>
          </w:tcPr>
          <w:p>
            <w:r/>
            <w:r>
              <w:rPr>
                <w:rFonts w:ascii="Calibri" w:hAnsi="Calibri" w:cs="Calibri" w:eastAsia="Calibri"/>
                <w:b/>
                <w:i w:val="0"/>
                <w:color w:val="FFFFFF"/>
                <w:sz w:val="16"/>
                <w:szCs w:val="16"/>
                <w:bCs/>
              </w:rPr>
              <w:t>Response playbook</w:t>
            </w:r>
          </w:p>
        </w:tc>
        <w:tc>
          <w:tcPr>
            <w:tcW w:type="dxa" w:w="2162"/>
            <w:shd w:val="clear" w:color="auto" w:fill="1F3864"/>
          </w:tcPr>
          <w:p>
            <w:r/>
            <w:r>
              <w:rPr>
                <w:rFonts w:ascii="Calibri" w:hAnsi="Calibri" w:cs="Calibri" w:eastAsia="Calibri"/>
                <w:b/>
                <w:i w:val="0"/>
                <w:color w:val="FFFFFF"/>
                <w:sz w:val="16"/>
                <w:szCs w:val="16"/>
                <w:bCs/>
              </w:rPr>
              <w:t>Last tested</w:t>
            </w:r>
          </w:p>
        </w:tc>
      </w:tr>
      <w:tr>
        <w:tc>
          <w:tcPr>
            <w:tcW w:type="dxa" w:w="2162"/>
          </w:tcPr>
          <w:p>
            <w:r/>
            <w:r>
              <w:rPr>
                <w:rFonts w:ascii="Calibri" w:hAnsi="Calibri" w:cs="Calibri" w:eastAsia="Calibri"/>
                <w:b w:val="0"/>
                <w:i w:val="0"/>
                <w:sz w:val="16"/>
                <w:szCs w:val="16"/>
              </w:rPr>
              <w:t>UC-01</w:t>
            </w:r>
          </w:p>
        </w:tc>
        <w:tc>
          <w:tcPr>
            <w:tcW w:type="dxa" w:w="2162"/>
          </w:tcPr>
          <w:p>
            <w:r/>
            <w:r>
              <w:rPr>
                <w:rFonts w:ascii="Calibri" w:hAnsi="Calibri" w:cs="Calibri" w:eastAsia="Calibri"/>
                <w:b w:val="0"/>
                <w:i w:val="0"/>
                <w:sz w:val="16"/>
                <w:szCs w:val="16"/>
              </w:rPr>
              <w:t>Password spraying or brute force against directory or VPN</w:t>
            </w:r>
          </w:p>
        </w:tc>
        <w:tc>
          <w:tcPr>
            <w:tcW w:type="dxa" w:w="2162"/>
          </w:tcPr>
          <w:p>
            <w:r/>
            <w:r>
              <w:rPr>
                <w:rFonts w:ascii="Calibri" w:hAnsi="Calibri" w:cs="Calibri" w:eastAsia="Calibri"/>
                <w:b w:val="0"/>
                <w:i w:val="0"/>
                <w:sz w:val="16"/>
                <w:szCs w:val="16"/>
              </w:rPr>
              <w:t>T1110</w:t>
            </w:r>
          </w:p>
        </w:tc>
        <w:tc>
          <w:tcPr>
            <w:tcW w:type="dxa" w:w="2162"/>
          </w:tcPr>
          <w:p>
            <w:r/>
            <w:r>
              <w:rPr>
                <w:rFonts w:ascii="Calibri" w:hAnsi="Calibri" w:cs="Calibri" w:eastAsia="Calibri"/>
                <w:b w:val="0"/>
                <w:i w:val="0"/>
                <w:sz w:val="16"/>
                <w:szCs w:val="16"/>
              </w:rPr>
              <w:t>Entra ID, Active Directory, VPN</w:t>
            </w:r>
          </w:p>
        </w:tc>
        <w:tc>
          <w:tcPr>
            <w:tcW w:type="dxa" w:w="2162"/>
          </w:tcPr>
          <w:p>
            <w:r/>
            <w:r>
              <w:rPr>
                <w:rFonts w:ascii="Calibri" w:hAnsi="Calibri" w:cs="Calibri" w:eastAsia="Calibri"/>
                <w:b w:val="0"/>
                <w:i w:val="0"/>
                <w:sz w:val="16"/>
                <w:szCs w:val="16"/>
              </w:rPr>
              <w:t>High</w:t>
            </w:r>
          </w:p>
        </w:tc>
        <w:tc>
          <w:tcPr>
            <w:tcW w:type="dxa" w:w="2162"/>
          </w:tcPr>
          <w:p>
            <w:r/>
            <w:r>
              <w:rPr>
                <w:rFonts w:ascii="Calibri" w:hAnsi="Calibri" w:cs="Calibri" w:eastAsia="Calibri"/>
                <w:b w:val="0"/>
                <w:i w:val="0"/>
                <w:sz w:val="16"/>
                <w:szCs w:val="16"/>
              </w:rPr>
              <w:t>RS-PLB-004</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UC-02</w:t>
            </w:r>
          </w:p>
        </w:tc>
        <w:tc>
          <w:tcPr>
            <w:tcW w:type="dxa" w:w="2162"/>
          </w:tcPr>
          <w:p>
            <w:r/>
            <w:r>
              <w:rPr>
                <w:rFonts w:ascii="Calibri" w:hAnsi="Calibri" w:cs="Calibri" w:eastAsia="Calibri"/>
                <w:b w:val="0"/>
                <w:i w:val="0"/>
                <w:sz w:val="16"/>
                <w:szCs w:val="16"/>
              </w:rPr>
              <w:t>Impossible travel or sign-in from unusual country</w:t>
            </w:r>
          </w:p>
        </w:tc>
        <w:tc>
          <w:tcPr>
            <w:tcW w:type="dxa" w:w="2162"/>
          </w:tcPr>
          <w:p>
            <w:r/>
            <w:r>
              <w:rPr>
                <w:rFonts w:ascii="Calibri" w:hAnsi="Calibri" w:cs="Calibri" w:eastAsia="Calibri"/>
                <w:b w:val="0"/>
                <w:i w:val="0"/>
                <w:sz w:val="16"/>
                <w:szCs w:val="16"/>
              </w:rPr>
              <w:t>T1078</w:t>
            </w:r>
          </w:p>
        </w:tc>
        <w:tc>
          <w:tcPr>
            <w:tcW w:type="dxa" w:w="2162"/>
          </w:tcPr>
          <w:p>
            <w:r/>
            <w:r>
              <w:rPr>
                <w:rFonts w:ascii="Calibri" w:hAnsi="Calibri" w:cs="Calibri" w:eastAsia="Calibri"/>
                <w:b w:val="0"/>
                <w:i w:val="0"/>
                <w:sz w:val="16"/>
                <w:szCs w:val="16"/>
              </w:rPr>
              <w:t>Entra ID</w:t>
            </w:r>
          </w:p>
        </w:tc>
        <w:tc>
          <w:tcPr>
            <w:tcW w:type="dxa" w:w="2162"/>
          </w:tcPr>
          <w:p>
            <w:r/>
            <w:r>
              <w:rPr>
                <w:rFonts w:ascii="Calibri" w:hAnsi="Calibri" w:cs="Calibri" w:eastAsia="Calibri"/>
                <w:b w:val="0"/>
                <w:i w:val="0"/>
                <w:sz w:val="16"/>
                <w:szCs w:val="16"/>
              </w:rPr>
              <w:t>Medium</w:t>
            </w:r>
          </w:p>
        </w:tc>
        <w:tc>
          <w:tcPr>
            <w:tcW w:type="dxa" w:w="2162"/>
          </w:tcPr>
          <w:p>
            <w:r/>
            <w:r>
              <w:rPr>
                <w:rFonts w:ascii="Calibri" w:hAnsi="Calibri" w:cs="Calibri" w:eastAsia="Calibri"/>
                <w:b w:val="0"/>
                <w:i w:val="0"/>
                <w:sz w:val="16"/>
                <w:szCs w:val="16"/>
              </w:rPr>
              <w:t>RS-PLB-004</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UC-03</w:t>
            </w:r>
          </w:p>
        </w:tc>
        <w:tc>
          <w:tcPr>
            <w:tcW w:type="dxa" w:w="2162"/>
          </w:tcPr>
          <w:p>
            <w:r/>
            <w:r>
              <w:rPr>
                <w:rFonts w:ascii="Calibri" w:hAnsi="Calibri" w:cs="Calibri" w:eastAsia="Calibri"/>
                <w:b w:val="0"/>
                <w:i w:val="0"/>
                <w:sz w:val="16"/>
                <w:szCs w:val="16"/>
              </w:rPr>
              <w:t>Ransomware behavior: mass file encryption or shadow copy deletion</w:t>
            </w:r>
          </w:p>
        </w:tc>
        <w:tc>
          <w:tcPr>
            <w:tcW w:type="dxa" w:w="2162"/>
          </w:tcPr>
          <w:p>
            <w:r/>
            <w:r>
              <w:rPr>
                <w:rFonts w:ascii="Calibri" w:hAnsi="Calibri" w:cs="Calibri" w:eastAsia="Calibri"/>
                <w:b w:val="0"/>
                <w:i w:val="0"/>
                <w:sz w:val="16"/>
                <w:szCs w:val="16"/>
              </w:rPr>
              <w:t>T1486, T1490</w:t>
            </w:r>
          </w:p>
        </w:tc>
        <w:tc>
          <w:tcPr>
            <w:tcW w:type="dxa" w:w="2162"/>
          </w:tcPr>
          <w:p>
            <w:r/>
            <w:r>
              <w:rPr>
                <w:rFonts w:ascii="Calibri" w:hAnsi="Calibri" w:cs="Calibri" w:eastAsia="Calibri"/>
                <w:b w:val="0"/>
                <w:i w:val="0"/>
                <w:sz w:val="16"/>
                <w:szCs w:val="16"/>
              </w:rPr>
              <w:t>EDR</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RS-PLB-001</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UC-04</w:t>
            </w:r>
          </w:p>
        </w:tc>
        <w:tc>
          <w:tcPr>
            <w:tcW w:type="dxa" w:w="2162"/>
          </w:tcPr>
          <w:p>
            <w:r/>
            <w:r>
              <w:rPr>
                <w:rFonts w:ascii="Calibri" w:hAnsi="Calibri" w:cs="Calibri" w:eastAsia="Calibri"/>
                <w:b w:val="0"/>
                <w:i w:val="0"/>
                <w:sz w:val="16"/>
                <w:szCs w:val="16"/>
              </w:rPr>
              <w:t>Credential dumping tools on servers</w:t>
            </w:r>
          </w:p>
        </w:tc>
        <w:tc>
          <w:tcPr>
            <w:tcW w:type="dxa" w:w="2162"/>
          </w:tcPr>
          <w:p>
            <w:r/>
            <w:r>
              <w:rPr>
                <w:rFonts w:ascii="Calibri" w:hAnsi="Calibri" w:cs="Calibri" w:eastAsia="Calibri"/>
                <w:b w:val="0"/>
                <w:i w:val="0"/>
                <w:sz w:val="16"/>
                <w:szCs w:val="16"/>
              </w:rPr>
              <w:t>T1003</w:t>
            </w:r>
          </w:p>
        </w:tc>
        <w:tc>
          <w:tcPr>
            <w:tcW w:type="dxa" w:w="2162"/>
          </w:tcPr>
          <w:p>
            <w:r/>
            <w:r>
              <w:rPr>
                <w:rFonts w:ascii="Calibri" w:hAnsi="Calibri" w:cs="Calibri" w:eastAsia="Calibri"/>
                <w:b w:val="0"/>
                <w:i w:val="0"/>
                <w:sz w:val="16"/>
                <w:szCs w:val="16"/>
              </w:rPr>
              <w:t>EDR</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RS-PLB-001</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UC-05</w:t>
            </w:r>
          </w:p>
        </w:tc>
        <w:tc>
          <w:tcPr>
            <w:tcW w:type="dxa" w:w="2162"/>
          </w:tcPr>
          <w:p>
            <w:r/>
            <w:r>
              <w:rPr>
                <w:rFonts w:ascii="Calibri" w:hAnsi="Calibri" w:cs="Calibri" w:eastAsia="Calibri"/>
                <w:b w:val="0"/>
                <w:i w:val="0"/>
                <w:sz w:val="16"/>
                <w:szCs w:val="16"/>
              </w:rPr>
              <w:t>New member added to Domain Admins</w:t>
            </w:r>
          </w:p>
        </w:tc>
        <w:tc>
          <w:tcPr>
            <w:tcW w:type="dxa" w:w="2162"/>
          </w:tcPr>
          <w:p>
            <w:r/>
            <w:r>
              <w:rPr>
                <w:rFonts w:ascii="Calibri" w:hAnsi="Calibri" w:cs="Calibri" w:eastAsia="Calibri"/>
                <w:b w:val="0"/>
                <w:i w:val="0"/>
                <w:sz w:val="16"/>
                <w:szCs w:val="16"/>
              </w:rPr>
              <w:t>T1098</w:t>
            </w:r>
          </w:p>
        </w:tc>
        <w:tc>
          <w:tcPr>
            <w:tcW w:type="dxa" w:w="2162"/>
          </w:tcPr>
          <w:p>
            <w:r/>
            <w:r>
              <w:rPr>
                <w:rFonts w:ascii="Calibri" w:hAnsi="Calibri" w:cs="Calibri" w:eastAsia="Calibri"/>
                <w:b w:val="0"/>
                <w:i w:val="0"/>
                <w:sz w:val="16"/>
                <w:szCs w:val="16"/>
              </w:rPr>
              <w:t>Active Directory</w:t>
            </w:r>
          </w:p>
        </w:tc>
        <w:tc>
          <w:tcPr>
            <w:tcW w:type="dxa" w:w="2162"/>
          </w:tcPr>
          <w:p>
            <w:r/>
            <w:r>
              <w:rPr>
                <w:rFonts w:ascii="Calibri" w:hAnsi="Calibri" w:cs="Calibri" w:eastAsia="Calibri"/>
                <w:b w:val="0"/>
                <w:i w:val="0"/>
                <w:sz w:val="16"/>
                <w:szCs w:val="16"/>
              </w:rPr>
              <w:t>High</w:t>
            </w:r>
          </w:p>
        </w:tc>
        <w:tc>
          <w:tcPr>
            <w:tcW w:type="dxa" w:w="2162"/>
          </w:tcPr>
          <w:p>
            <w:r/>
            <w:r>
              <w:rPr>
                <w:rFonts w:ascii="Calibri" w:hAnsi="Calibri" w:cs="Calibri" w:eastAsia="Calibri"/>
                <w:b w:val="0"/>
                <w:i w:val="0"/>
                <w:sz w:val="16"/>
                <w:szCs w:val="16"/>
              </w:rPr>
              <w:t>RS-PRC-001</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UC-06</w:t>
            </w:r>
          </w:p>
        </w:tc>
        <w:tc>
          <w:tcPr>
            <w:tcW w:type="dxa" w:w="2162"/>
          </w:tcPr>
          <w:p>
            <w:r/>
            <w:r>
              <w:rPr>
                <w:rFonts w:ascii="Calibri" w:hAnsi="Calibri" w:cs="Calibri" w:eastAsia="Calibri"/>
                <w:b w:val="0"/>
                <w:i w:val="0"/>
                <w:sz w:val="16"/>
                <w:szCs w:val="16"/>
              </w:rPr>
              <w:t>Connection to known malicious IP or domain</w:t>
            </w:r>
          </w:p>
        </w:tc>
        <w:tc>
          <w:tcPr>
            <w:tcW w:type="dxa" w:w="2162"/>
          </w:tcPr>
          <w:p>
            <w:r/>
            <w:r>
              <w:rPr>
                <w:rFonts w:ascii="Calibri" w:hAnsi="Calibri" w:cs="Calibri" w:eastAsia="Calibri"/>
                <w:b w:val="0"/>
                <w:i w:val="0"/>
                <w:sz w:val="16"/>
                <w:szCs w:val="16"/>
              </w:rPr>
              <w:t>T1071</w:t>
            </w:r>
          </w:p>
        </w:tc>
        <w:tc>
          <w:tcPr>
            <w:tcW w:type="dxa" w:w="2162"/>
          </w:tcPr>
          <w:p>
            <w:r/>
            <w:r>
              <w:rPr>
                <w:rFonts w:ascii="Calibri" w:hAnsi="Calibri" w:cs="Calibri" w:eastAsia="Calibri"/>
                <w:b w:val="0"/>
                <w:i w:val="0"/>
                <w:sz w:val="16"/>
                <w:szCs w:val="16"/>
              </w:rPr>
              <w:t>Firewall, DNS filter</w:t>
            </w:r>
          </w:p>
        </w:tc>
        <w:tc>
          <w:tcPr>
            <w:tcW w:type="dxa" w:w="2162"/>
          </w:tcPr>
          <w:p>
            <w:r/>
            <w:r>
              <w:rPr>
                <w:rFonts w:ascii="Calibri" w:hAnsi="Calibri" w:cs="Calibri" w:eastAsia="Calibri"/>
                <w:b w:val="0"/>
                <w:i w:val="0"/>
                <w:sz w:val="16"/>
                <w:szCs w:val="16"/>
              </w:rPr>
              <w:t>High</w:t>
            </w:r>
          </w:p>
        </w:tc>
        <w:tc>
          <w:tcPr>
            <w:tcW w:type="dxa" w:w="2162"/>
          </w:tcPr>
          <w:p>
            <w:r/>
            <w:r>
              <w:rPr>
                <w:rFonts w:ascii="Calibri" w:hAnsi="Calibri" w:cs="Calibri" w:eastAsia="Calibri"/>
                <w:b w:val="0"/>
                <w:i w:val="0"/>
                <w:sz w:val="16"/>
                <w:szCs w:val="16"/>
              </w:rPr>
              <w:t>RS-PRC-001</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UC-07</w:t>
            </w:r>
          </w:p>
        </w:tc>
        <w:tc>
          <w:tcPr>
            <w:tcW w:type="dxa" w:w="2162"/>
          </w:tcPr>
          <w:p>
            <w:r/>
            <w:r>
              <w:rPr>
                <w:rFonts w:ascii="Calibri" w:hAnsi="Calibri" w:cs="Calibri" w:eastAsia="Calibri"/>
                <w:b w:val="0"/>
                <w:i w:val="0"/>
                <w:sz w:val="16"/>
                <w:szCs w:val="16"/>
              </w:rPr>
              <w:t>Backup job deletion or retention change</w:t>
            </w:r>
          </w:p>
        </w:tc>
        <w:tc>
          <w:tcPr>
            <w:tcW w:type="dxa" w:w="2162"/>
          </w:tcPr>
          <w:p>
            <w:r/>
            <w:r>
              <w:rPr>
                <w:rFonts w:ascii="Calibri" w:hAnsi="Calibri" w:cs="Calibri" w:eastAsia="Calibri"/>
                <w:b w:val="0"/>
                <w:i w:val="0"/>
                <w:sz w:val="16"/>
                <w:szCs w:val="16"/>
              </w:rPr>
              <w:t>T1490</w:t>
            </w:r>
          </w:p>
        </w:tc>
        <w:tc>
          <w:tcPr>
            <w:tcW w:type="dxa" w:w="2162"/>
          </w:tcPr>
          <w:p>
            <w:r/>
            <w:r>
              <w:rPr>
                <w:rFonts w:ascii="Calibri" w:hAnsi="Calibri" w:cs="Calibri" w:eastAsia="Calibri"/>
                <w:b w:val="0"/>
                <w:i w:val="0"/>
                <w:sz w:val="16"/>
                <w:szCs w:val="16"/>
              </w:rPr>
              <w:t>Backup platform</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RS-PLB-001</w:t>
            </w:r>
          </w:p>
        </w:tc>
        <w:tc>
          <w:tcPr>
            <w:tcW w:type="dxa" w:w="2162"/>
          </w:tcPr>
          <w:p>
            <w:r/>
            <w:r>
              <w:rPr>
                <w:rFonts w:ascii="Calibri" w:hAnsi="Calibri" w:cs="Calibri" w:eastAsia="Calibri"/>
                <w:b w:val="0"/>
                <w:i w:val="0"/>
                <w:sz w:val="16"/>
                <w:szCs w:val="16"/>
              </w:rPr>
              <w:t>05/2026 Pass</w:t>
            </w:r>
          </w:p>
        </w:tc>
      </w:tr>
      <w:tr>
        <w:tc>
          <w:tcPr>
            <w:tcW w:type="dxa" w:w="2162"/>
          </w:tcPr>
          <w:p>
            <w:r/>
            <w:r>
              <w:rPr>
                <w:rFonts w:ascii="Calibri" w:hAnsi="Calibri" w:cs="Calibri" w:eastAsia="Calibri"/>
                <w:b w:val="0"/>
                <w:i w:val="0"/>
                <w:sz w:val="16"/>
                <w:szCs w:val="16"/>
              </w:rPr>
              <w:t>UC-08</w:t>
            </w:r>
          </w:p>
        </w:tc>
        <w:tc>
          <w:tcPr>
            <w:tcW w:type="dxa" w:w="2162"/>
          </w:tcPr>
          <w:p>
            <w:r/>
            <w:r>
              <w:rPr>
                <w:rFonts w:ascii="Calibri" w:hAnsi="Calibri" w:cs="Calibri" w:eastAsia="Calibri"/>
                <w:b w:val="0"/>
                <w:i w:val="0"/>
                <w:sz w:val="16"/>
                <w:szCs w:val="16"/>
              </w:rPr>
              <w:t>Bulk patient record access or export by one user</w:t>
            </w:r>
          </w:p>
        </w:tc>
        <w:tc>
          <w:tcPr>
            <w:tcW w:type="dxa" w:w="2162"/>
          </w:tcPr>
          <w:p>
            <w:r/>
            <w:r>
              <w:rPr>
                <w:rFonts w:ascii="Calibri" w:hAnsi="Calibri" w:cs="Calibri" w:eastAsia="Calibri"/>
                <w:b w:val="0"/>
                <w:i w:val="0"/>
                <w:sz w:val="16"/>
                <w:szCs w:val="16"/>
              </w:rPr>
              <w:t>T1530</w:t>
            </w:r>
          </w:p>
        </w:tc>
        <w:tc>
          <w:tcPr>
            <w:tcW w:type="dxa" w:w="2162"/>
          </w:tcPr>
          <w:p>
            <w:r/>
            <w:r>
              <w:rPr>
                <w:rFonts w:ascii="Calibri" w:hAnsi="Calibri" w:cs="Calibri" w:eastAsia="Calibri"/>
                <w:b w:val="0"/>
                <w:i w:val="0"/>
                <w:sz w:val="16"/>
                <w:szCs w:val="16"/>
              </w:rPr>
              <w:t>HIS audit log</w:t>
            </w:r>
          </w:p>
        </w:tc>
        <w:tc>
          <w:tcPr>
            <w:tcW w:type="dxa" w:w="2162"/>
          </w:tcPr>
          <w:p>
            <w:r/>
            <w:r>
              <w:rPr>
                <w:rFonts w:ascii="Calibri" w:hAnsi="Calibri" w:cs="Calibri" w:eastAsia="Calibri"/>
                <w:b w:val="0"/>
                <w:i w:val="0"/>
                <w:sz w:val="16"/>
                <w:szCs w:val="16"/>
              </w:rPr>
              <w:t>High</w:t>
            </w:r>
          </w:p>
        </w:tc>
        <w:tc>
          <w:tcPr>
            <w:tcW w:type="dxa" w:w="2162"/>
          </w:tcPr>
          <w:p>
            <w:r/>
            <w:r>
              <w:rPr>
                <w:rFonts w:ascii="Calibri" w:hAnsi="Calibri" w:cs="Calibri" w:eastAsia="Calibri"/>
                <w:b w:val="0"/>
                <w:i w:val="0"/>
                <w:sz w:val="16"/>
                <w:szCs w:val="16"/>
              </w:rPr>
              <w:t>RS-PLB-003</w:t>
            </w:r>
          </w:p>
        </w:tc>
        <w:tc>
          <w:tcPr>
            <w:tcW w:type="dxa" w:w="2162"/>
          </w:tcPr>
          <w:p>
            <w:r/>
            <w:r>
              <w:rPr>
                <w:rFonts w:ascii="Calibri" w:hAnsi="Calibri" w:cs="Calibri" w:eastAsia="Calibri"/>
                <w:b w:val="0"/>
                <w:i w:val="0"/>
                <w:sz w:val="16"/>
                <w:szCs w:val="16"/>
              </w:rPr>
              <w:t>Pending (HIS log onboarding)</w:t>
            </w:r>
          </w:p>
        </w:tc>
      </w:tr>
      <w:tr>
        <w:tc>
          <w:tcPr>
            <w:tcW w:type="dxa" w:w="2162"/>
          </w:tcPr>
          <w:p>
            <w:r/>
            <w:r>
              <w:rPr>
                <w:rFonts w:ascii="Calibri" w:hAnsi="Calibri" w:cs="Calibri" w:eastAsia="Calibri"/>
                <w:b w:val="0"/>
                <w:i w:val="0"/>
                <w:sz w:val="16"/>
                <w:szCs w:val="16"/>
              </w:rPr>
              <w:t>UC-09</w:t>
            </w:r>
          </w:p>
        </w:tc>
        <w:tc>
          <w:tcPr>
            <w:tcW w:type="dxa" w:w="2162"/>
          </w:tcPr>
          <w:p>
            <w:r/>
            <w:r>
              <w:rPr>
                <w:rFonts w:ascii="Calibri" w:hAnsi="Calibri" w:cs="Calibri" w:eastAsia="Calibri"/>
                <w:b w:val="0"/>
                <w:i w:val="0"/>
                <w:sz w:val="16"/>
                <w:szCs w:val="16"/>
              </w:rPr>
              <w:t>New device or unusual protocol on medical device VLAN</w:t>
            </w:r>
          </w:p>
        </w:tc>
        <w:tc>
          <w:tcPr>
            <w:tcW w:type="dxa" w:w="2162"/>
          </w:tcPr>
          <w:p>
            <w:r/>
            <w:r>
              <w:rPr>
                <w:rFonts w:ascii="Calibri" w:hAnsi="Calibri" w:cs="Calibri" w:eastAsia="Calibri"/>
                <w:b w:val="0"/>
                <w:i w:val="0"/>
                <w:sz w:val="16"/>
                <w:szCs w:val="16"/>
              </w:rPr>
              <w:t>T0846</w:t>
            </w:r>
          </w:p>
        </w:tc>
        <w:tc>
          <w:tcPr>
            <w:tcW w:type="dxa" w:w="2162"/>
          </w:tcPr>
          <w:p>
            <w:r/>
            <w:r>
              <w:rPr>
                <w:rFonts w:ascii="Calibri" w:hAnsi="Calibri" w:cs="Calibri" w:eastAsia="Calibri"/>
                <w:b w:val="0"/>
                <w:i w:val="0"/>
                <w:sz w:val="16"/>
                <w:szCs w:val="16"/>
              </w:rPr>
              <w:t>Network detection</w:t>
            </w:r>
          </w:p>
        </w:tc>
        <w:tc>
          <w:tcPr>
            <w:tcW w:type="dxa" w:w="2162"/>
          </w:tcPr>
          <w:p>
            <w:r/>
            <w:r>
              <w:rPr>
                <w:rFonts w:ascii="Calibri" w:hAnsi="Calibri" w:cs="Calibri" w:eastAsia="Calibri"/>
                <w:b w:val="0"/>
                <w:i w:val="0"/>
                <w:sz w:val="16"/>
                <w:szCs w:val="16"/>
              </w:rPr>
              <w:t>Medium</w:t>
            </w:r>
          </w:p>
        </w:tc>
        <w:tc>
          <w:tcPr>
            <w:tcW w:type="dxa" w:w="2162"/>
          </w:tcPr>
          <w:p>
            <w:r/>
            <w:r>
              <w:rPr>
                <w:rFonts w:ascii="Calibri" w:hAnsi="Calibri" w:cs="Calibri" w:eastAsia="Calibri"/>
                <w:b w:val="0"/>
                <w:i w:val="0"/>
                <w:sz w:val="16"/>
                <w:szCs w:val="16"/>
              </w:rPr>
              <w:t>RS-PRC-001</w:t>
            </w:r>
          </w:p>
        </w:tc>
        <w:tc>
          <w:tcPr>
            <w:tcW w:type="dxa" w:w="2162"/>
          </w:tcPr>
          <w:p>
            <w:r/>
            <w:r>
              <w:rPr>
                <w:rFonts w:ascii="Calibri" w:hAnsi="Calibri" w:cs="Calibri" w:eastAsia="Calibri"/>
                <w:b w:val="0"/>
                <w:i w:val="0"/>
                <w:sz w:val="16"/>
                <w:szCs w:val="16"/>
              </w:rPr>
              <w:t>09/2026 Pass</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SOC Lead (MSSP service manager with Security Manager oversight)</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SOC Lead (MSSP service manager with Security Manager oversight)</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SOC Lead (MSSP service manager with Security Manager oversight)</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Start with 15 to 25 high-value use cases and test each one.</w:t>
      </w:r>
    </w:p>
    <w:p>
      <w:pPr>
        <w:pStyle w:val="ListBullet"/>
        <w:spacing w:after="40"/>
      </w:pPr>
      <w:r>
        <w:rPr>
          <w:rFonts w:ascii="Calibri" w:hAnsi="Calibri" w:cs="Calibri" w:eastAsia="Calibri"/>
          <w:b w:val="0"/>
          <w:i w:val="0"/>
          <w:sz w:val="21"/>
          <w:szCs w:val="21"/>
        </w:rPr>
        <w:t>Link every use case to a response playbook so analysts know what to do.</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Hundreds of vendor default rules enabled, none tested or tuned.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DE.AE-02: Potentially adverse events are analyzed to better understand associated activities</w:t>
            </w:r>
          </w:p>
          <w:p>
            <w:r>
              <w:rPr>
                <w:rFonts w:ascii="Calibri" w:hAnsi="Calibri" w:cs="Calibri" w:eastAsia="Calibri"/>
                <w:b w:val="0"/>
                <w:i w:val="0"/>
                <w:sz w:val="18"/>
                <w:szCs w:val="18"/>
              </w:rPr>
              <w:t>DE.AE-07: Cyber threat intelligence and other contextual information are integrated into the analysis</w:t>
            </w:r>
          </w:p>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MITRE ATT&amp;CK; ISO/IEC 27001:2022 Annex A 8.16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DE-REG-002  |  Detection Use Case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