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Incident Classification and Severity Standard</w:t>
      </w:r>
    </w:p>
    <w:p>
      <w:pPr>
        <w:spacing w:after="80" w:before="0"/>
      </w:pPr>
      <w:r>
        <w:rPr>
          <w:rFonts w:ascii="Calibri" w:hAnsi="Calibri" w:cs="Calibri" w:eastAsia="Calibri"/>
          <w:b w:val="0"/>
          <w:i w:val="0"/>
          <w:color w:val="595959"/>
          <w:sz w:val="18"/>
          <w:szCs w:val="18"/>
        </w:rPr>
        <w:t>DE-STD-002  |  Standard  |  Adverse Event Analysis (DE.AE)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DE-STD-002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Incident Classification and Severity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8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8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Detect (DE)</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Adverse Event Analysis (DE.AE)</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CRC Notification on CII duties 2024 (incident reporting within 24 hours) [VERIFY]; ISO/IEC 27001:2022 Annex A 5.25</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3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8 August 2026</w:t>
            </w:r>
          </w:p>
        </w:tc>
        <w:tc>
          <w:tcPr>
            <w:tcW w:type="dxa" w:w="3742"/>
          </w:tcPr>
          <w:p>
            <w:r/>
            <w:r>
              <w:rPr>
                <w:rFonts w:ascii="Calibri" w:hAnsi="Calibri" w:cs="Calibri" w:eastAsia="Calibri"/>
                <w:b w:val="0"/>
                <w:i w:val="0"/>
                <w:sz w:val="18"/>
                <w:szCs w:val="18"/>
              </w:rPr>
              <w:t>Updated after onboarding the managed security service provider (MSSP) for 24x7 monitoring in March 2026.</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defines incident categories, severity levels, and declaration criteria, so that incidents are declared consistently and trigger the right response and notifications (DE.AE-08, RS.MA-03).</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Incident Categories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incident categories.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Malware and ransomware</w:t>
      </w:r>
    </w:p>
    <w:p>
      <w:pPr>
        <w:pStyle w:val="ListBullet"/>
        <w:spacing w:after="40"/>
      </w:pPr>
      <w:r>
        <w:rPr>
          <w:rFonts w:ascii="Calibri" w:hAnsi="Calibri" w:cs="Calibri" w:eastAsia="Calibri"/>
          <w:b w:val="0"/>
          <w:i w:val="0"/>
          <w:sz w:val="21"/>
          <w:szCs w:val="21"/>
        </w:rPr>
        <w:t>Account compromise</w:t>
      </w:r>
    </w:p>
    <w:p>
      <w:pPr>
        <w:pStyle w:val="ListBullet"/>
        <w:spacing w:after="40"/>
      </w:pPr>
      <w:r>
        <w:rPr>
          <w:rFonts w:ascii="Calibri" w:hAnsi="Calibri" w:cs="Calibri" w:eastAsia="Calibri"/>
          <w:b w:val="0"/>
          <w:i w:val="0"/>
          <w:sz w:val="21"/>
          <w:szCs w:val="21"/>
        </w:rPr>
        <w:t>Phishing and business email compromise</w:t>
      </w:r>
    </w:p>
    <w:p>
      <w:pPr>
        <w:pStyle w:val="ListBullet"/>
        <w:spacing w:after="40"/>
      </w:pPr>
      <w:r>
        <w:rPr>
          <w:rFonts w:ascii="Calibri" w:hAnsi="Calibri" w:cs="Calibri" w:eastAsia="Calibri"/>
          <w:b w:val="0"/>
          <w:i w:val="0"/>
          <w:sz w:val="21"/>
          <w:szCs w:val="21"/>
        </w:rPr>
        <w:t>Data breach or unauthorized disclosure</w:t>
      </w:r>
    </w:p>
    <w:p>
      <w:pPr>
        <w:pStyle w:val="ListBullet"/>
        <w:spacing w:after="40"/>
      </w:pPr>
      <w:r>
        <w:rPr>
          <w:rFonts w:ascii="Calibri" w:hAnsi="Calibri" w:cs="Calibri" w:eastAsia="Calibri"/>
          <w:b w:val="0"/>
          <w:i w:val="0"/>
          <w:sz w:val="21"/>
          <w:szCs w:val="21"/>
        </w:rPr>
        <w:t>Denial of service</w:t>
      </w:r>
    </w:p>
    <w:p>
      <w:pPr>
        <w:pStyle w:val="ListBullet"/>
        <w:spacing w:after="40"/>
      </w:pPr>
      <w:r>
        <w:rPr>
          <w:rFonts w:ascii="Calibri" w:hAnsi="Calibri" w:cs="Calibri" w:eastAsia="Calibri"/>
          <w:b w:val="0"/>
          <w:i w:val="0"/>
          <w:sz w:val="21"/>
          <w:szCs w:val="21"/>
        </w:rPr>
        <w:t>Insider misuse</w:t>
      </w:r>
    </w:p>
    <w:p>
      <w:pPr>
        <w:pStyle w:val="ListBullet"/>
        <w:spacing w:after="40"/>
      </w:pPr>
      <w:r>
        <w:rPr>
          <w:rFonts w:ascii="Calibri" w:hAnsi="Calibri" w:cs="Calibri" w:eastAsia="Calibri"/>
          <w:b w:val="0"/>
          <w:i w:val="0"/>
          <w:sz w:val="21"/>
          <w:szCs w:val="21"/>
        </w:rPr>
        <w:t>Third-party or supply chain compromise</w:t>
      </w:r>
    </w:p>
    <w:p>
      <w:pPr>
        <w:pStyle w:val="ListBullet"/>
        <w:spacing w:after="40"/>
      </w:pPr>
      <w:r>
        <w:rPr>
          <w:rFonts w:ascii="Calibri" w:hAnsi="Calibri" w:cs="Calibri" w:eastAsia="Calibri"/>
          <w:b w:val="0"/>
          <w:i w:val="0"/>
          <w:sz w:val="21"/>
          <w:szCs w:val="21"/>
        </w:rPr>
        <w:t>Physical security incident affecting information</w:t>
      </w:r>
    </w:p>
    <w:p>
      <w:pPr>
        <w:pStyle w:val="Heading2"/>
        <w:keepNext/>
        <w:spacing w:before="120" w:after="80"/>
      </w:pPr>
      <w:r>
        <w:rPr>
          <w:rFonts w:ascii="Calibri" w:hAnsi="Calibri" w:cs="Calibri" w:eastAsia="Calibri"/>
          <w:b/>
          <w:i w:val="0"/>
          <w:color w:val="1F3864"/>
          <w:sz w:val="24"/>
          <w:szCs w:val="24"/>
          <w:bCs/>
        </w:rPr>
        <w:t>4.4 Severity Levels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severity levels with criteria and required actions.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587"/>
        <w:gridCol w:w="3969"/>
        <w:gridCol w:w="1984"/>
        <w:gridCol w:w="1814"/>
      </w:tblGrid>
      <w:tr>
        <w:trPr>
          <w:tblHeader w:val="true"/>
        </w:trPr>
        <w:tc>
          <w:tcPr>
            <w:tcW w:type="dxa" w:w="1587"/>
            <w:shd w:val="clear" w:color="auto" w:fill="1F3864"/>
          </w:tcPr>
          <w:p>
            <w:r/>
            <w:r>
              <w:rPr>
                <w:rFonts w:ascii="Calibri" w:hAnsi="Calibri" w:cs="Calibri" w:eastAsia="Calibri"/>
                <w:b/>
                <w:i w:val="0"/>
                <w:color w:val="FFFFFF"/>
                <w:sz w:val="18"/>
                <w:szCs w:val="18"/>
                <w:bCs/>
              </w:rPr>
              <w:t>Severity</w:t>
            </w:r>
          </w:p>
        </w:tc>
        <w:tc>
          <w:tcPr>
            <w:tcW w:type="dxa" w:w="3969"/>
            <w:shd w:val="clear" w:color="auto" w:fill="1F3864"/>
          </w:tcPr>
          <w:p>
            <w:r/>
            <w:r>
              <w:rPr>
                <w:rFonts w:ascii="Calibri" w:hAnsi="Calibri" w:cs="Calibri" w:eastAsia="Calibri"/>
                <w:b/>
                <w:i w:val="0"/>
                <w:color w:val="FFFFFF"/>
                <w:sz w:val="18"/>
                <w:szCs w:val="18"/>
                <w:bCs/>
              </w:rPr>
              <w:t>CMC criteria (any)</w:t>
            </w:r>
          </w:p>
        </w:tc>
        <w:tc>
          <w:tcPr>
            <w:tcW w:type="dxa" w:w="1984"/>
            <w:shd w:val="clear" w:color="auto" w:fill="1F3864"/>
          </w:tcPr>
          <w:p>
            <w:r/>
            <w:r>
              <w:rPr>
                <w:rFonts w:ascii="Calibri" w:hAnsi="Calibri" w:cs="Calibri" w:eastAsia="Calibri"/>
                <w:b/>
                <w:i w:val="0"/>
                <w:color w:val="FFFFFF"/>
                <w:sz w:val="18"/>
                <w:szCs w:val="18"/>
                <w:bCs/>
              </w:rPr>
              <w:t>Response lead</w:t>
            </w:r>
          </w:p>
        </w:tc>
        <w:tc>
          <w:tcPr>
            <w:tcW w:type="dxa" w:w="1814"/>
            <w:shd w:val="clear" w:color="auto" w:fill="1F3864"/>
          </w:tcPr>
          <w:p>
            <w:r/>
            <w:r>
              <w:rPr>
                <w:rFonts w:ascii="Calibri" w:hAnsi="Calibri" w:cs="Calibri" w:eastAsia="Calibri"/>
                <w:b/>
                <w:i w:val="0"/>
                <w:color w:val="FFFFFF"/>
                <w:sz w:val="18"/>
                <w:szCs w:val="18"/>
                <w:bCs/>
              </w:rPr>
              <w:t>Notify</w:t>
            </w:r>
          </w:p>
        </w:tc>
      </w:tr>
      <w:tr>
        <w:tc>
          <w:tcPr>
            <w:tcW w:type="dxa" w:w="1587"/>
          </w:tcPr>
          <w:p>
            <w:r/>
            <w:r>
              <w:rPr>
                <w:rFonts w:ascii="Calibri" w:hAnsi="Calibri" w:cs="Calibri" w:eastAsia="Calibri"/>
                <w:b w:val="0"/>
                <w:i w:val="0"/>
                <w:sz w:val="18"/>
                <w:szCs w:val="18"/>
              </w:rPr>
              <w:t>SEV-1 Critical</w:t>
            </w:r>
          </w:p>
        </w:tc>
        <w:tc>
          <w:tcPr>
            <w:tcW w:type="dxa" w:w="3969"/>
          </w:tcPr>
          <w:p>
            <w:r/>
            <w:r>
              <w:rPr>
                <w:rFonts w:ascii="Calibri" w:hAnsi="Calibri" w:cs="Calibri" w:eastAsia="Calibri"/>
                <w:b w:val="0"/>
                <w:i w:val="0"/>
                <w:sz w:val="18"/>
                <w:szCs w:val="18"/>
              </w:rPr>
              <w:t>HIS, PACS, or LIS down from a cyber event; ransomware on any server; patient data breach over 1,000 records</w:t>
            </w:r>
          </w:p>
        </w:tc>
        <w:tc>
          <w:tcPr>
            <w:tcW w:type="dxa" w:w="1984"/>
          </w:tcPr>
          <w:p>
            <w:r/>
            <w:r>
              <w:rPr>
                <w:rFonts w:ascii="Calibri" w:hAnsi="Calibri" w:cs="Calibri" w:eastAsia="Calibri"/>
                <w:b w:val="0"/>
                <w:i w:val="0"/>
                <w:sz w:val="18"/>
                <w:szCs w:val="18"/>
              </w:rPr>
              <w:t>Security Manager; Crisis Management Team</w:t>
            </w:r>
          </w:p>
        </w:tc>
        <w:tc>
          <w:tcPr>
            <w:tcW w:type="dxa" w:w="1814"/>
          </w:tcPr>
          <w:p>
            <w:r/>
            <w:r>
              <w:rPr>
                <w:rFonts w:ascii="Calibri" w:hAnsi="Calibri" w:cs="Calibri" w:eastAsia="Calibri"/>
                <w:b w:val="0"/>
                <w:i w:val="0"/>
                <w:sz w:val="18"/>
                <w:szCs w:val="18"/>
              </w:rPr>
              <w:t>CEO within 1 hour; NCSA and regulator per CII rules; PDPC within 72 hours if notifiable</w:t>
            </w:r>
          </w:p>
        </w:tc>
      </w:tr>
      <w:tr>
        <w:tc>
          <w:tcPr>
            <w:tcW w:type="dxa" w:w="1587"/>
          </w:tcPr>
          <w:p>
            <w:r/>
            <w:r>
              <w:rPr>
                <w:rFonts w:ascii="Calibri" w:hAnsi="Calibri" w:cs="Calibri" w:eastAsia="Calibri"/>
                <w:b w:val="0"/>
                <w:i w:val="0"/>
                <w:sz w:val="18"/>
                <w:szCs w:val="18"/>
              </w:rPr>
              <w:t>SEV-2 High</w:t>
            </w:r>
          </w:p>
        </w:tc>
        <w:tc>
          <w:tcPr>
            <w:tcW w:type="dxa" w:w="3969"/>
          </w:tcPr>
          <w:p>
            <w:r/>
            <w:r>
              <w:rPr>
                <w:rFonts w:ascii="Calibri" w:hAnsi="Calibri" w:cs="Calibri" w:eastAsia="Calibri"/>
                <w:b w:val="0"/>
                <w:i w:val="0"/>
                <w:sz w:val="18"/>
                <w:szCs w:val="18"/>
              </w:rPr>
              <w:t>Privileged account or server compromise; vendor access misuse; patient data breach under 1,000 records</w:t>
            </w:r>
          </w:p>
        </w:tc>
        <w:tc>
          <w:tcPr>
            <w:tcW w:type="dxa" w:w="1984"/>
          </w:tcPr>
          <w:p>
            <w:r/>
            <w:r>
              <w:rPr>
                <w:rFonts w:ascii="Calibri" w:hAnsi="Calibri" w:cs="Calibri" w:eastAsia="Calibri"/>
                <w:b w:val="0"/>
                <w:i w:val="0"/>
                <w:sz w:val="18"/>
                <w:szCs w:val="18"/>
              </w:rPr>
              <w:t>Security Manager</w:t>
            </w:r>
          </w:p>
        </w:tc>
        <w:tc>
          <w:tcPr>
            <w:tcW w:type="dxa" w:w="1814"/>
          </w:tcPr>
          <w:p>
            <w:r/>
            <w:r>
              <w:rPr>
                <w:rFonts w:ascii="Calibri" w:hAnsi="Calibri" w:cs="Calibri" w:eastAsia="Calibri"/>
                <w:b w:val="0"/>
                <w:i w:val="0"/>
                <w:sz w:val="18"/>
                <w:szCs w:val="18"/>
              </w:rPr>
              <w:t>CIO within 2 hours; DPO</w:t>
            </w:r>
          </w:p>
        </w:tc>
      </w:tr>
      <w:tr>
        <w:tc>
          <w:tcPr>
            <w:tcW w:type="dxa" w:w="1587"/>
          </w:tcPr>
          <w:p>
            <w:r/>
            <w:r>
              <w:rPr>
                <w:rFonts w:ascii="Calibri" w:hAnsi="Calibri" w:cs="Calibri" w:eastAsia="Calibri"/>
                <w:b w:val="0"/>
                <w:i w:val="0"/>
                <w:sz w:val="18"/>
                <w:szCs w:val="18"/>
              </w:rPr>
              <w:t>SEV-3 Medium</w:t>
            </w:r>
          </w:p>
        </w:tc>
        <w:tc>
          <w:tcPr>
            <w:tcW w:type="dxa" w:w="3969"/>
          </w:tcPr>
          <w:p>
            <w:r/>
            <w:r>
              <w:rPr>
                <w:rFonts w:ascii="Calibri" w:hAnsi="Calibri" w:cs="Calibri" w:eastAsia="Calibri"/>
                <w:b w:val="0"/>
                <w:i w:val="0"/>
                <w:sz w:val="18"/>
                <w:szCs w:val="18"/>
              </w:rPr>
              <w:t>Single workstation malware contained by EDR; single mailbox compromise without data access</w:t>
            </w:r>
          </w:p>
        </w:tc>
        <w:tc>
          <w:tcPr>
            <w:tcW w:type="dxa" w:w="1984"/>
          </w:tcPr>
          <w:p>
            <w:r/>
            <w:r>
              <w:rPr>
                <w:rFonts w:ascii="Calibri" w:hAnsi="Calibri" w:cs="Calibri" w:eastAsia="Calibri"/>
                <w:b w:val="0"/>
                <w:i w:val="0"/>
                <w:sz w:val="18"/>
                <w:szCs w:val="18"/>
              </w:rPr>
              <w:t>Security engineer with MSSP</w:t>
            </w:r>
          </w:p>
        </w:tc>
        <w:tc>
          <w:tcPr>
            <w:tcW w:type="dxa" w:w="1814"/>
          </w:tcPr>
          <w:p>
            <w:r/>
            <w:r>
              <w:rPr>
                <w:rFonts w:ascii="Calibri" w:hAnsi="Calibri" w:cs="Calibri" w:eastAsia="Calibri"/>
                <w:b w:val="0"/>
                <w:i w:val="0"/>
                <w:sz w:val="18"/>
                <w:szCs w:val="18"/>
              </w:rPr>
              <w:t>Security Manager same day</w:t>
            </w:r>
          </w:p>
        </w:tc>
      </w:tr>
      <w:tr>
        <w:tc>
          <w:tcPr>
            <w:tcW w:type="dxa" w:w="1587"/>
          </w:tcPr>
          <w:p>
            <w:r/>
            <w:r>
              <w:rPr>
                <w:rFonts w:ascii="Calibri" w:hAnsi="Calibri" w:cs="Calibri" w:eastAsia="Calibri"/>
                <w:b w:val="0"/>
                <w:i w:val="0"/>
                <w:sz w:val="18"/>
                <w:szCs w:val="18"/>
              </w:rPr>
              <w:t>SEV-4 Low</w:t>
            </w:r>
          </w:p>
        </w:tc>
        <w:tc>
          <w:tcPr>
            <w:tcW w:type="dxa" w:w="3969"/>
          </w:tcPr>
          <w:p>
            <w:r/>
            <w:r>
              <w:rPr>
                <w:rFonts w:ascii="Calibri" w:hAnsi="Calibri" w:cs="Calibri" w:eastAsia="Calibri"/>
                <w:b w:val="0"/>
                <w:i w:val="0"/>
                <w:sz w:val="18"/>
                <w:szCs w:val="18"/>
              </w:rPr>
              <w:t>Blocked phishing; policy violation</w:t>
            </w:r>
          </w:p>
        </w:tc>
        <w:tc>
          <w:tcPr>
            <w:tcW w:type="dxa" w:w="1984"/>
          </w:tcPr>
          <w:p>
            <w:r/>
            <w:r>
              <w:rPr>
                <w:rFonts w:ascii="Calibri" w:hAnsi="Calibri" w:cs="Calibri" w:eastAsia="Calibri"/>
                <w:b w:val="0"/>
                <w:i w:val="0"/>
                <w:sz w:val="18"/>
                <w:szCs w:val="18"/>
              </w:rPr>
              <w:t>MSSP analyst</w:t>
            </w:r>
          </w:p>
        </w:tc>
        <w:tc>
          <w:tcPr>
            <w:tcW w:type="dxa" w:w="1814"/>
          </w:tcPr>
          <w:p>
            <w:r/>
            <w:r>
              <w:rPr>
                <w:rFonts w:ascii="Calibri" w:hAnsi="Calibri" w:cs="Calibri" w:eastAsia="Calibri"/>
                <w:b w:val="0"/>
                <w:i w:val="0"/>
                <w:sz w:val="18"/>
                <w:szCs w:val="18"/>
              </w:rPr>
              <w:t>Monthly report</w:t>
            </w:r>
          </w:p>
        </w:tc>
      </w:tr>
    </w:tbl>
    <w:p>
      <w:pPr>
        <w:spacing w:after="40"/>
      </w:pPr>
    </w:p>
    <w:p>
      <w:pPr>
        <w:pStyle w:val="Heading2"/>
        <w:keepNext/>
        <w:spacing w:before="120" w:after="80"/>
      </w:pPr>
      <w:r>
        <w:rPr>
          <w:rFonts w:ascii="Calibri" w:hAnsi="Calibri" w:cs="Calibri" w:eastAsia="Calibri"/>
          <w:b/>
          <w:i w:val="0"/>
          <w:color w:val="1F3864"/>
          <w:sz w:val="24"/>
          <w:szCs w:val="24"/>
          <w:bCs/>
        </w:rPr>
        <w:t>4.5 Regulatory Significance Check</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Require a check of legal notification thresholds for every SEV-1 and SEV-2 incident.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For every SEV-1 and SEV-2 incident, the Security Manager and Data Protection Officer (DPO) assess within 4 hours whether PDPA breach notification (s.37(4)) or CII significant incident reporting (CSA s.57; CRC Notification 2024, reported as 24 hours [VERIFY]) applies, and start RS-PRC-003.</w:t>
      </w:r>
    </w:p>
    <w:p>
      <w:pPr>
        <w:pStyle w:val="Heading2"/>
        <w:keepNext/>
        <w:spacing w:before="120" w:after="80"/>
      </w:pPr>
      <w:r>
        <w:rPr>
          <w:rFonts w:ascii="Calibri" w:hAnsi="Calibri" w:cs="Calibri" w:eastAsia="Calibri"/>
          <w:b/>
          <w:i w:val="0"/>
          <w:color w:val="1F3864"/>
          <w:sz w:val="24"/>
          <w:szCs w:val="24"/>
          <w:bCs/>
        </w:rPr>
        <w:t>4.6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Base severity on business impact so non-technical leaders understand it.</w:t>
      </w:r>
    </w:p>
    <w:p>
      <w:pPr>
        <w:pStyle w:val="ListBullet"/>
        <w:spacing w:after="40"/>
      </w:pPr>
      <w:r>
        <w:rPr>
          <w:rFonts w:ascii="Calibri" w:hAnsi="Calibri" w:cs="Calibri" w:eastAsia="Calibri"/>
          <w:b w:val="0"/>
          <w:i w:val="0"/>
          <w:sz w:val="21"/>
          <w:szCs w:val="21"/>
        </w:rPr>
        <w:t>Allow upgrading severity at any time as facts emerge; never downgrade without review.</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Waiting for certainty before declaring an incident, which wastes the notification window.</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DE.AE-04: The estimated impact and scope of adverse events are understood</w:t>
            </w:r>
          </w:p>
          <w:p>
            <w:r>
              <w:rPr>
                <w:rFonts w:ascii="Calibri" w:hAnsi="Calibri" w:cs="Calibri" w:eastAsia="Calibri"/>
                <w:b w:val="0"/>
                <w:i w:val="0"/>
                <w:sz w:val="18"/>
                <w:szCs w:val="18"/>
              </w:rPr>
              <w:t>DE.AE-08: Incidents are declared when adverse events meet the defined incident criteria</w:t>
            </w:r>
          </w:p>
          <w:p>
            <w:r>
              <w:rPr>
                <w:rFonts w:ascii="Calibri" w:hAnsi="Calibri" w:cs="Calibri" w:eastAsia="Calibri"/>
                <w:b w:val="0"/>
                <w:i w:val="0"/>
                <w:sz w:val="18"/>
                <w:szCs w:val="18"/>
              </w:rPr>
              <w:t>RS.MA-03: Incidents are categorized and prioritized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A.5.25</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IR-4, IR-8</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CRC Notification on CII duties 2024 (incident reporting within 24 hours) [VERIFY]; ISO/IEC 27001:2022 Annex A 5.25</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RS-PLN-001: Cybersecurity Incident Response Plan</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DE-STD-002  |  Incident Classification and Severity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